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960807">
                  <w:rPr>
                    <w:rFonts w:ascii="Arial" w:hAnsi="Arial" w:hint="cs"/>
                    <w:b/>
                    <w:bCs/>
                    <w:sz w:val="26"/>
                    <w:szCs w:val="26"/>
                    <w:rtl/>
                  </w:rPr>
                  <w:t xml:space="preserve">ורדה </w:t>
                </w:r>
                <w:r>
                  <w:rPr>
                    <w:rFonts w:ascii="Arial" w:hAnsi="Arial"/>
                    <w:b/>
                    <w:bCs/>
                    <w:sz w:val="26"/>
                    <w:szCs w:val="26"/>
                    <w:rtl/>
                  </w:rPr>
                  <w:t>פלאוט</w:t>
                </w:r>
                <w:r w:rsidR="00960807">
                  <w:rPr>
                    <w:rFonts w:ascii="Arial" w:hAnsi="Arial" w:hint="cs"/>
                    <w:b/>
                    <w:bCs/>
                    <w:sz w:val="26"/>
                    <w:szCs w:val="26"/>
                    <w:rtl/>
                  </w:rPr>
                  <w:t>- אב"ד</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2112267596"/>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r w:rsidR="00960807">
              <w:rPr>
                <w:rFonts w:ascii="Arial" w:hAnsi="Arial" w:hint="cs"/>
                <w:b/>
                <w:bCs/>
                <w:sz w:val="26"/>
                <w:szCs w:val="26"/>
                <w:rtl/>
              </w:rPr>
              <w:t xml:space="preserve">יעל </w:t>
            </w:r>
            <w:sdt>
              <w:sdtPr>
                <w:rPr>
                  <w:sz w:val="26"/>
                  <w:szCs w:val="26"/>
                  <w:rtl/>
                </w:rPr>
                <w:alias w:val="1573"/>
                <w:tag w:val="1573"/>
                <w:id w:val="-108975756"/>
                <w:text w:multiLine="1"/>
              </w:sdtPr>
              <w:sdtEndPr/>
              <w:sdtContent>
                <w:r>
                  <w:rPr>
                    <w:rFonts w:ascii="Arial" w:hAnsi="Arial"/>
                    <w:b/>
                    <w:bCs/>
                    <w:sz w:val="26"/>
                    <w:szCs w:val="26"/>
                    <w:rtl/>
                  </w:rPr>
                  <w:t>מושקוביץ</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85931061"/>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r w:rsidR="00960807">
              <w:rPr>
                <w:rFonts w:ascii="Arial" w:hAnsi="Arial" w:hint="cs"/>
                <w:b/>
                <w:bCs/>
                <w:sz w:val="26"/>
                <w:szCs w:val="26"/>
                <w:rtl/>
              </w:rPr>
              <w:t xml:space="preserve">צבייה </w:t>
            </w:r>
            <w:sdt>
              <w:sdtPr>
                <w:rPr>
                  <w:sz w:val="26"/>
                  <w:szCs w:val="26"/>
                  <w:rtl/>
                </w:rPr>
                <w:alias w:val="1573"/>
                <w:tag w:val="1573"/>
                <w:id w:val="2108075868"/>
                <w:text w:multiLine="1"/>
              </w:sdtPr>
              <w:sdtEndPr/>
              <w:sdtContent>
                <w:r>
                  <w:rPr>
                    <w:rFonts w:ascii="Arial" w:hAnsi="Arial"/>
                    <w:b/>
                    <w:bCs/>
                    <w:sz w:val="26"/>
                    <w:szCs w:val="26"/>
                    <w:rtl/>
                  </w:rPr>
                  <w:t>גרדשטיין פפקין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93DAC" w:rsidRDefault="004957A5" w:rsidP="00960807">
                <w:pPr>
                  <w:suppressLineNumbers/>
                  <w:rPr>
                    <w:rFonts w:ascii="Arial" w:hAnsi="Arial"/>
                    <w:b/>
                    <w:bCs/>
                    <w:noProof w:val="0"/>
                    <w:sz w:val="26"/>
                    <w:szCs w:val="26"/>
                    <w:rtl/>
                  </w:rPr>
                </w:pPr>
                <w:r>
                  <w:rPr>
                    <w:rFonts w:ascii="Arial" w:hAnsi="Arial"/>
                    <w:b/>
                    <w:bCs/>
                    <w:noProof w:val="0"/>
                    <w:sz w:val="26"/>
                    <w:szCs w:val="26"/>
                    <w:rtl/>
                  </w:rPr>
                  <w:t>מערער</w:t>
                </w:r>
                <w:r w:rsidR="00960807">
                  <w:rPr>
                    <w:rFonts w:ascii="Arial" w:hAnsi="Arial" w:hint="cs"/>
                    <w:b/>
                    <w:bCs/>
                    <w:noProof w:val="0"/>
                    <w:sz w:val="26"/>
                    <w:szCs w:val="26"/>
                    <w:rtl/>
                  </w:rPr>
                  <w:t>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60807" w:rsidP="007D3ADD">
            <w:pPr>
              <w:suppressLineNumbers/>
              <w:rPr>
                <w:rtl/>
              </w:rPr>
            </w:pPr>
            <w:r>
              <w:rPr>
                <w:rFonts w:ascii="Arial" w:hAnsi="Arial" w:hint="cs"/>
                <w:b/>
                <w:bCs/>
                <w:noProof w:val="0"/>
                <w:sz w:val="26"/>
                <w:szCs w:val="26"/>
                <w:rtl/>
              </w:rPr>
              <w:t>1.</w:t>
            </w:r>
            <w:r w:rsidR="007C2453" w:rsidRPr="007C2453">
              <w:rPr>
                <w:rFonts w:ascii="Arial" w:hAnsi="Arial" w:hint="cs"/>
                <w:b/>
                <w:bCs/>
                <w:noProof w:val="0"/>
                <w:sz w:val="26"/>
                <w:szCs w:val="26"/>
                <w:rtl/>
              </w:rPr>
              <w:t xml:space="preserve"> </w:t>
            </w:r>
            <w:r w:rsidR="007D3ADD">
              <w:rPr>
                <w:rFonts w:ascii="Arial" w:hAnsi="Arial" w:hint="cs"/>
                <w:b/>
                <w:bCs/>
                <w:noProof w:val="0"/>
                <w:sz w:val="26"/>
                <w:szCs w:val="26"/>
                <w:rtl/>
              </w:rPr>
              <w:t>ח.ש</w:t>
            </w:r>
          </w:p>
          <w:p w:rsidR="00960807" w:rsidRDefault="00960807" w:rsidP="007D3ADD">
            <w:pPr>
              <w:suppressLineNumbers/>
              <w:rPr>
                <w:b/>
                <w:bCs/>
                <w:noProof w:val="0"/>
                <w:sz w:val="26"/>
                <w:szCs w:val="26"/>
              </w:rPr>
            </w:pPr>
            <w:r>
              <w:rPr>
                <w:rFonts w:hint="cs"/>
                <w:b/>
                <w:bCs/>
                <w:noProof w:val="0"/>
                <w:sz w:val="26"/>
                <w:szCs w:val="26"/>
                <w:rtl/>
              </w:rPr>
              <w:t xml:space="preserve">2. </w:t>
            </w:r>
            <w:r w:rsidR="007D3ADD">
              <w:rPr>
                <w:rFonts w:hint="cs"/>
                <w:b/>
                <w:bCs/>
                <w:noProof w:val="0"/>
                <w:sz w:val="26"/>
                <w:szCs w:val="26"/>
                <w:rtl/>
              </w:rPr>
              <w:t>מ.ש</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C2BA4" w:rsidP="00960807">
            <w:pPr>
              <w:suppressLineNumbers/>
              <w:rPr>
                <w:rFonts w:ascii="Arial" w:hAnsi="Arial"/>
                <w:b/>
                <w:bCs/>
                <w:noProof w:val="0"/>
                <w:sz w:val="26"/>
                <w:szCs w:val="26"/>
              </w:rPr>
            </w:pPr>
            <w:sdt>
              <w:sdtPr>
                <w:rPr>
                  <w:rtl/>
                </w:rPr>
                <w:alias w:val="1184"/>
                <w:tag w:val="1184"/>
                <w:id w:val="-340621022"/>
                <w:text w:multiLine="1"/>
              </w:sdtPr>
              <w:sdtEndPr/>
              <w:sdtContent>
                <w:r w:rsidR="00960807">
                  <w:rPr>
                    <w:rFonts w:ascii="Arial" w:hAnsi="Arial"/>
                    <w:b/>
                    <w:bCs/>
                    <w:noProof w:val="0"/>
                    <w:sz w:val="26"/>
                    <w:szCs w:val="26"/>
                    <w:rtl/>
                  </w:rPr>
                  <w:t>משיב</w:t>
                </w:r>
              </w:sdtContent>
            </w:sdt>
          </w:p>
        </w:tc>
        <w:tc>
          <w:tcPr>
            <w:tcW w:w="5571" w:type="dxa"/>
          </w:tcPr>
          <w:p w:rsidR="00CF6BB7" w:rsidRPr="009E461A" w:rsidRDefault="007D3ADD" w:rsidP="00960807">
            <w:pPr>
              <w:suppressLineNumbers/>
              <w:rPr>
                <w:rtl/>
              </w:rPr>
            </w:pPr>
            <w:r>
              <w:rPr>
                <w:rFonts w:ascii="Arial" w:hAnsi="Arial" w:hint="cs"/>
                <w:b/>
                <w:bCs/>
                <w:noProof w:val="0"/>
                <w:sz w:val="26"/>
                <w:szCs w:val="26"/>
                <w:rtl/>
              </w:rPr>
              <w:t>ד.ש</w:t>
            </w:r>
            <w:r w:rsidR="00B859C5">
              <w:rPr>
                <w:rFonts w:hint="cs"/>
                <w:rtl/>
              </w:rPr>
              <w:t xml:space="preserve"> </w:t>
            </w:r>
          </w:p>
        </w:tc>
      </w:tr>
      <w:tr w:rsidR="00694556" w:rsidRPr="00DE1E7D">
        <w:trPr>
          <w:jc w:val="center"/>
        </w:trPr>
        <w:tc>
          <w:tcPr>
            <w:tcW w:w="8820" w:type="dxa"/>
            <w:gridSpan w:val="3"/>
          </w:tcPr>
          <w:p w:rsidR="00960807" w:rsidRDefault="00960807">
            <w:pPr>
              <w:bidi w:val="0"/>
              <w:jc w:val="center"/>
              <w:rPr>
                <w:rFonts w:ascii="Arial" w:hAnsi="Arial"/>
                <w:b/>
                <w:bCs/>
                <w:noProof w:val="0"/>
                <w:sz w:val="28"/>
                <w:szCs w:val="28"/>
                <w:u w:val="single"/>
                <w:rtl/>
              </w:rPr>
            </w:pPr>
          </w:p>
          <w:p w:rsidR="00960807" w:rsidRDefault="00960807" w:rsidP="00960807">
            <w:pPr>
              <w:bidi w:val="0"/>
              <w:jc w:val="center"/>
              <w:rPr>
                <w:rFonts w:ascii="Arial" w:hAnsi="Arial"/>
                <w:b/>
                <w:bCs/>
                <w:noProof w:val="0"/>
                <w:sz w:val="28"/>
                <w:szCs w:val="28"/>
                <w:u w:val="single"/>
                <w:rtl/>
              </w:rPr>
            </w:pPr>
          </w:p>
          <w:p w:rsidR="00694556" w:rsidRDefault="003E38C7" w:rsidP="0096080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60807" w:rsidRDefault="00960807" w:rsidP="007D3ADD">
      <w:pPr>
        <w:spacing w:line="360" w:lineRule="auto"/>
        <w:jc w:val="both"/>
        <w:rPr>
          <w:rFonts w:ascii="FrankRuehl" w:hAnsi="FrankRuehl" w:cs="FrankRuehl"/>
          <w:noProof w:val="0"/>
          <w:sz w:val="28"/>
          <w:szCs w:val="28"/>
        </w:rPr>
      </w:pPr>
      <w:bookmarkStart w:id="0" w:name="NGCSBookmark"/>
      <w:bookmarkEnd w:id="0"/>
      <w:r>
        <w:rPr>
          <w:rFonts w:ascii="FrankRuehl" w:hAnsi="FrankRuehl" w:cs="FrankRuehl"/>
          <w:sz w:val="28"/>
          <w:szCs w:val="28"/>
          <w:rtl/>
        </w:rPr>
        <w:t xml:space="preserve">לפנינו ערעור על פסק דינו של בית המשפט לענייני משפחה בראשון לציון שניתן ביום 8.5.2022 בתיק ת"ע 42405-01-20; ת"ע 63028-02-20; ת"ע 43505-01-20 (כב' השופטת </w:t>
      </w:r>
      <w:r>
        <w:rPr>
          <w:rFonts w:ascii="Miriam" w:hAnsi="Miriam" w:cs="Miriam"/>
          <w:rtl/>
        </w:rPr>
        <w:t>מ' סער</w:t>
      </w:r>
      <w:r>
        <w:rPr>
          <w:rFonts w:ascii="FrankRuehl" w:hAnsi="FrankRuehl" w:cs="FrankRuehl"/>
          <w:sz w:val="28"/>
          <w:szCs w:val="28"/>
          <w:rtl/>
        </w:rPr>
        <w:t>), במסגרתו קבע בית המשפט קמא כי המשיב הוא היורש, על פי דין, של הגב' ר</w:t>
      </w:r>
      <w:r w:rsidR="007D3ADD">
        <w:rPr>
          <w:rFonts w:ascii="FrankRuehl" w:hAnsi="FrankRuehl" w:cs="FrankRuehl" w:hint="cs"/>
          <w:sz w:val="28"/>
          <w:szCs w:val="28"/>
          <w:rtl/>
        </w:rPr>
        <w:t>.ש</w:t>
      </w:r>
      <w:r>
        <w:rPr>
          <w:rFonts w:ascii="FrankRuehl" w:hAnsi="FrankRuehl" w:cs="FrankRuehl"/>
          <w:sz w:val="28"/>
          <w:szCs w:val="28"/>
          <w:rtl/>
        </w:rPr>
        <w:t xml:space="preserve"> ז"ל</w:t>
      </w:r>
      <w:r w:rsidR="007D3ADD">
        <w:rPr>
          <w:rFonts w:ascii="FrankRuehl" w:hAnsi="FrankRuehl" w:cs="FrankRuehl" w:hint="cs"/>
          <w:sz w:val="28"/>
          <w:szCs w:val="28"/>
          <w:rtl/>
        </w:rPr>
        <w:t>,</w:t>
      </w:r>
      <w:r>
        <w:rPr>
          <w:rFonts w:ascii="FrankRuehl" w:hAnsi="FrankRuehl" w:cs="FrankRuehl"/>
          <w:sz w:val="28"/>
          <w:szCs w:val="28"/>
          <w:rtl/>
        </w:rPr>
        <w:t xml:space="preserve"> ודחה את טענת המערערים כי הם זכאים לרשת מחצית מעזבונה מכוח צוואה שערכו הגב' </w:t>
      </w:r>
      <w:r w:rsidR="007D3ADD">
        <w:rPr>
          <w:rFonts w:ascii="FrankRuehl" w:hAnsi="FrankRuehl" w:cs="FrankRuehl" w:hint="cs"/>
          <w:sz w:val="28"/>
          <w:szCs w:val="28"/>
          <w:rtl/>
        </w:rPr>
        <w:t>ר.</w:t>
      </w:r>
      <w:r>
        <w:rPr>
          <w:rFonts w:ascii="FrankRuehl" w:hAnsi="FrankRuehl" w:cs="FrankRuehl"/>
          <w:sz w:val="28"/>
          <w:szCs w:val="28"/>
          <w:rtl/>
        </w:rPr>
        <w:t>ש ובעלה המנוח, מר ז</w:t>
      </w:r>
      <w:r w:rsidR="007D3ADD">
        <w:rPr>
          <w:rFonts w:ascii="FrankRuehl" w:hAnsi="FrankRuehl" w:cs="FrankRuehl" w:hint="cs"/>
          <w:sz w:val="28"/>
          <w:szCs w:val="28"/>
          <w:rtl/>
        </w:rPr>
        <w:t>.ש</w:t>
      </w:r>
      <w:r>
        <w:rPr>
          <w:rFonts w:ascii="FrankRuehl" w:hAnsi="FrankRuehl" w:cs="FrankRuehl"/>
          <w:sz w:val="28"/>
          <w:szCs w:val="28"/>
          <w:rtl/>
        </w:rPr>
        <w:t xml:space="preserve"> ז"ל. </w:t>
      </w:r>
    </w:p>
    <w:p w:rsidR="00960807" w:rsidRDefault="00960807" w:rsidP="00960807">
      <w:pPr>
        <w:spacing w:line="360" w:lineRule="auto"/>
        <w:jc w:val="both"/>
        <w:rPr>
          <w:rFonts w:ascii="FrankRuehl" w:hAnsi="FrankRuehl" w:cs="FrankRuehl"/>
          <w:b/>
          <w:bCs/>
          <w:sz w:val="28"/>
          <w:szCs w:val="28"/>
          <w:u w:val="single"/>
        </w:rPr>
      </w:pPr>
    </w:p>
    <w:p w:rsidR="00960807" w:rsidRDefault="00960807" w:rsidP="00960807">
      <w:pPr>
        <w:spacing w:line="360" w:lineRule="auto"/>
        <w:jc w:val="both"/>
        <w:rPr>
          <w:rFonts w:ascii="Miriam" w:hAnsi="Miriam" w:cs="Miriam"/>
          <w:rtl/>
        </w:rPr>
      </w:pPr>
      <w:r>
        <w:rPr>
          <w:rFonts w:ascii="Miriam" w:hAnsi="Miriam" w:cs="Miriam"/>
          <w:rtl/>
        </w:rPr>
        <w:t xml:space="preserve">הנדרש לנדון </w:t>
      </w:r>
    </w:p>
    <w:p w:rsidR="00960807" w:rsidRDefault="00960807" w:rsidP="00960807">
      <w:pPr>
        <w:spacing w:line="360" w:lineRule="auto"/>
        <w:jc w:val="both"/>
        <w:rPr>
          <w:rFonts w:ascii="FrankRuehl" w:hAnsi="FrankRuehl" w:cs="FrankRuehl"/>
          <w:b/>
          <w:bCs/>
          <w:sz w:val="28"/>
          <w:szCs w:val="28"/>
          <w:u w:val="single"/>
          <w:rtl/>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גב' </w:t>
      </w:r>
      <w:r w:rsidR="007D3ADD">
        <w:rPr>
          <w:rFonts w:ascii="FrankRuehl" w:hAnsi="FrankRuehl" w:cs="FrankRuehl" w:hint="cs"/>
          <w:sz w:val="28"/>
          <w:szCs w:val="28"/>
          <w:rtl/>
        </w:rPr>
        <w:t>ר.ש</w:t>
      </w:r>
      <w:r>
        <w:rPr>
          <w:rFonts w:ascii="FrankRuehl" w:hAnsi="FrankRuehl" w:cs="FrankRuehl"/>
          <w:sz w:val="28"/>
          <w:szCs w:val="28"/>
          <w:rtl/>
        </w:rPr>
        <w:t xml:space="preserve"> ז"ל (להלן: </w:t>
      </w:r>
      <w:r>
        <w:rPr>
          <w:rFonts w:ascii="FrankRuehl" w:hAnsi="FrankRuehl" w:cs="FrankRuehl"/>
          <w:b/>
          <w:bCs/>
          <w:sz w:val="28"/>
          <w:szCs w:val="28"/>
          <w:rtl/>
        </w:rPr>
        <w:t xml:space="preserve">" </w:t>
      </w:r>
      <w:r w:rsidR="007D3ADD">
        <w:rPr>
          <w:rFonts w:ascii="FrankRuehl" w:hAnsi="FrankRuehl" w:cs="FrankRuehl" w:hint="cs"/>
          <w:b/>
          <w:bCs/>
          <w:sz w:val="28"/>
          <w:szCs w:val="28"/>
          <w:rtl/>
        </w:rPr>
        <w:t>ר.ש</w:t>
      </w:r>
      <w:r>
        <w:rPr>
          <w:rFonts w:ascii="FrankRuehl" w:hAnsi="FrankRuehl" w:cs="FrankRuehl"/>
          <w:b/>
          <w:bCs/>
          <w:sz w:val="28"/>
          <w:szCs w:val="28"/>
          <w:rtl/>
        </w:rPr>
        <w:t>"</w:t>
      </w:r>
      <w:r>
        <w:rPr>
          <w:rFonts w:ascii="FrankRuehl" w:hAnsi="FrankRuehl" w:cs="FrankRuehl"/>
          <w:sz w:val="28"/>
          <w:szCs w:val="28"/>
          <w:rtl/>
        </w:rPr>
        <w:t xml:space="preserve"> או </w:t>
      </w:r>
      <w:r>
        <w:rPr>
          <w:rFonts w:ascii="FrankRuehl" w:hAnsi="FrankRuehl" w:cs="FrankRuehl"/>
          <w:b/>
          <w:bCs/>
          <w:sz w:val="28"/>
          <w:szCs w:val="28"/>
          <w:rtl/>
        </w:rPr>
        <w:t>"המנוחה"</w:t>
      </w:r>
      <w:r>
        <w:rPr>
          <w:rFonts w:ascii="FrankRuehl" w:hAnsi="FrankRuehl" w:cs="FrankRuehl"/>
          <w:sz w:val="28"/>
          <w:szCs w:val="28"/>
          <w:rtl/>
        </w:rPr>
        <w:t xml:space="preserve">) ובעלה המנוח מר </w:t>
      </w:r>
      <w:r w:rsidR="007D3ADD">
        <w:rPr>
          <w:rFonts w:ascii="FrankRuehl" w:hAnsi="FrankRuehl" w:cs="FrankRuehl" w:hint="cs"/>
          <w:sz w:val="28"/>
          <w:szCs w:val="28"/>
          <w:rtl/>
        </w:rPr>
        <w:t>ז.ש</w:t>
      </w:r>
      <w:r>
        <w:rPr>
          <w:rFonts w:ascii="FrankRuehl" w:hAnsi="FrankRuehl" w:cs="FrankRuehl"/>
          <w:sz w:val="28"/>
          <w:szCs w:val="28"/>
          <w:rtl/>
        </w:rPr>
        <w:t xml:space="preserve"> ז"ל (להלן: </w:t>
      </w:r>
      <w:r>
        <w:rPr>
          <w:rFonts w:ascii="FrankRuehl" w:hAnsi="FrankRuehl" w:cs="FrankRuehl"/>
          <w:b/>
          <w:bCs/>
          <w:sz w:val="28"/>
          <w:szCs w:val="28"/>
          <w:rtl/>
        </w:rPr>
        <w:t>"</w:t>
      </w:r>
      <w:r w:rsidR="007D3ADD">
        <w:rPr>
          <w:rFonts w:ascii="FrankRuehl" w:hAnsi="FrankRuehl" w:cs="FrankRuehl" w:hint="cs"/>
          <w:b/>
          <w:bCs/>
          <w:sz w:val="28"/>
          <w:szCs w:val="28"/>
          <w:rtl/>
        </w:rPr>
        <w:t>ז.ש</w:t>
      </w:r>
      <w:r>
        <w:rPr>
          <w:rFonts w:ascii="FrankRuehl" w:hAnsi="FrankRuehl" w:cs="FrankRuehl"/>
          <w:b/>
          <w:bCs/>
          <w:sz w:val="28"/>
          <w:szCs w:val="28"/>
          <w:rtl/>
        </w:rPr>
        <w:t>"</w:t>
      </w:r>
      <w:r>
        <w:rPr>
          <w:rFonts w:ascii="FrankRuehl" w:hAnsi="FrankRuehl" w:cs="FrankRuehl"/>
          <w:sz w:val="28"/>
          <w:szCs w:val="28"/>
          <w:rtl/>
        </w:rPr>
        <w:t xml:space="preserve"> או </w:t>
      </w:r>
      <w:r>
        <w:rPr>
          <w:rFonts w:ascii="FrankRuehl" w:hAnsi="FrankRuehl" w:cs="FrankRuehl"/>
          <w:b/>
          <w:bCs/>
          <w:sz w:val="28"/>
          <w:szCs w:val="28"/>
          <w:rtl/>
        </w:rPr>
        <w:t>"המנוח"</w:t>
      </w:r>
      <w:r>
        <w:rPr>
          <w:rFonts w:ascii="FrankRuehl" w:hAnsi="FrankRuehl" w:cs="FrankRuehl"/>
          <w:sz w:val="28"/>
          <w:szCs w:val="28"/>
          <w:rtl/>
        </w:rPr>
        <w:t xml:space="preserve">), היו בני זוג ללא ילדים.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מר </w:t>
      </w:r>
      <w:r w:rsidR="007D3ADD">
        <w:rPr>
          <w:rFonts w:ascii="FrankRuehl" w:hAnsi="FrankRuehl" w:cs="FrankRuehl" w:hint="cs"/>
          <w:sz w:val="28"/>
          <w:szCs w:val="28"/>
          <w:rtl/>
        </w:rPr>
        <w:t>ד.ש</w:t>
      </w:r>
      <w:r>
        <w:rPr>
          <w:rFonts w:ascii="FrankRuehl" w:hAnsi="FrankRuehl" w:cs="FrankRuehl"/>
          <w:sz w:val="28"/>
          <w:szCs w:val="28"/>
          <w:rtl/>
        </w:rPr>
        <w:t xml:space="preserve"> (להלן: </w:t>
      </w:r>
      <w:r>
        <w:rPr>
          <w:rFonts w:ascii="FrankRuehl" w:hAnsi="FrankRuehl" w:cs="FrankRuehl"/>
          <w:b/>
          <w:bCs/>
          <w:sz w:val="28"/>
          <w:szCs w:val="28"/>
          <w:rtl/>
        </w:rPr>
        <w:t>"</w:t>
      </w:r>
      <w:r w:rsidR="007D3ADD">
        <w:rPr>
          <w:rFonts w:ascii="FrankRuehl" w:hAnsi="FrankRuehl" w:cs="FrankRuehl" w:hint="cs"/>
          <w:b/>
          <w:bCs/>
          <w:sz w:val="28"/>
          <w:szCs w:val="28"/>
          <w:rtl/>
        </w:rPr>
        <w:t>ד.ש</w:t>
      </w:r>
      <w:r>
        <w:rPr>
          <w:rFonts w:ascii="FrankRuehl" w:hAnsi="FrankRuehl" w:cs="FrankRuehl"/>
          <w:b/>
          <w:bCs/>
          <w:sz w:val="28"/>
          <w:szCs w:val="28"/>
          <w:rtl/>
        </w:rPr>
        <w:t xml:space="preserve">" </w:t>
      </w:r>
      <w:r>
        <w:rPr>
          <w:rFonts w:ascii="FrankRuehl" w:hAnsi="FrankRuehl" w:cs="FrankRuehl"/>
          <w:sz w:val="28"/>
          <w:szCs w:val="28"/>
          <w:rtl/>
        </w:rPr>
        <w:t>או</w:t>
      </w:r>
      <w:r>
        <w:rPr>
          <w:rFonts w:ascii="FrankRuehl" w:hAnsi="FrankRuehl" w:cs="FrankRuehl"/>
          <w:b/>
          <w:bCs/>
          <w:sz w:val="28"/>
          <w:szCs w:val="28"/>
          <w:rtl/>
        </w:rPr>
        <w:t xml:space="preserve"> "המשיב"</w:t>
      </w:r>
      <w:r w:rsidR="007D3ADD">
        <w:rPr>
          <w:rFonts w:ascii="FrankRuehl" w:hAnsi="FrankRuehl" w:cs="FrankRuehl"/>
          <w:sz w:val="28"/>
          <w:szCs w:val="28"/>
          <w:rtl/>
        </w:rPr>
        <w:t>) הנו אחיה היחיד של ר</w:t>
      </w:r>
      <w:r w:rsidR="007D3ADD">
        <w:rPr>
          <w:rFonts w:ascii="FrankRuehl" w:hAnsi="FrankRuehl" w:cs="FrankRuehl" w:hint="cs"/>
          <w:sz w:val="28"/>
          <w:szCs w:val="28"/>
          <w:rtl/>
        </w:rPr>
        <w:t>.ש</w:t>
      </w:r>
      <w:r>
        <w:rPr>
          <w:rFonts w:ascii="FrankRuehl" w:hAnsi="FrankRuehl" w:cs="FrankRuehl"/>
          <w:sz w:val="28"/>
          <w:szCs w:val="28"/>
          <w:rtl/>
        </w:rPr>
        <w:t xml:space="preserve">.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מר </w:t>
      </w:r>
      <w:r w:rsidR="007D3ADD">
        <w:rPr>
          <w:rFonts w:ascii="FrankRuehl" w:hAnsi="FrankRuehl" w:cs="FrankRuehl" w:hint="cs"/>
          <w:sz w:val="28"/>
          <w:szCs w:val="28"/>
          <w:rtl/>
        </w:rPr>
        <w:t>מ.ש</w:t>
      </w:r>
      <w:r>
        <w:rPr>
          <w:rFonts w:ascii="FrankRuehl" w:hAnsi="FrankRuehl" w:cs="FrankRuehl"/>
          <w:sz w:val="28"/>
          <w:szCs w:val="28"/>
          <w:rtl/>
        </w:rPr>
        <w:t xml:space="preserve"> ז"ל (להלן: </w:t>
      </w:r>
      <w:r>
        <w:rPr>
          <w:rFonts w:ascii="FrankRuehl" w:hAnsi="FrankRuehl" w:cs="FrankRuehl"/>
          <w:b/>
          <w:bCs/>
          <w:sz w:val="28"/>
          <w:szCs w:val="28"/>
          <w:rtl/>
        </w:rPr>
        <w:t>"</w:t>
      </w:r>
      <w:r w:rsidR="007D3ADD">
        <w:rPr>
          <w:rFonts w:ascii="FrankRuehl" w:hAnsi="FrankRuehl" w:cs="FrankRuehl" w:hint="cs"/>
          <w:b/>
          <w:bCs/>
          <w:sz w:val="28"/>
          <w:szCs w:val="28"/>
          <w:rtl/>
        </w:rPr>
        <w:t>מ.ש</w:t>
      </w:r>
      <w:r>
        <w:rPr>
          <w:rFonts w:ascii="FrankRuehl" w:hAnsi="FrankRuehl" w:cs="FrankRuehl"/>
          <w:sz w:val="28"/>
          <w:szCs w:val="28"/>
          <w:rtl/>
        </w:rPr>
        <w:t xml:space="preserve">") היה אחיו היחיד של </w:t>
      </w:r>
      <w:r w:rsidR="007D3ADD">
        <w:rPr>
          <w:rFonts w:ascii="FrankRuehl" w:hAnsi="FrankRuehl" w:cs="FrankRuehl" w:hint="cs"/>
          <w:sz w:val="28"/>
          <w:szCs w:val="28"/>
          <w:rtl/>
        </w:rPr>
        <w:t>ז.ש</w:t>
      </w:r>
      <w:r>
        <w:rPr>
          <w:rFonts w:ascii="FrankRuehl" w:hAnsi="FrankRuehl" w:cs="FrankRuehl"/>
          <w:sz w:val="28"/>
          <w:szCs w:val="28"/>
          <w:rtl/>
        </w:rPr>
        <w:t xml:space="preserve"> ז"ל. הגב' </w:t>
      </w:r>
      <w:r w:rsidR="007D3ADD">
        <w:rPr>
          <w:rFonts w:ascii="FrankRuehl" w:hAnsi="FrankRuehl" w:cs="FrankRuehl" w:hint="cs"/>
          <w:sz w:val="28"/>
          <w:szCs w:val="28"/>
          <w:rtl/>
        </w:rPr>
        <w:t>ח.ש</w:t>
      </w:r>
      <w:r>
        <w:rPr>
          <w:rFonts w:ascii="FrankRuehl" w:hAnsi="FrankRuehl" w:cs="FrankRuehl"/>
          <w:sz w:val="28"/>
          <w:szCs w:val="28"/>
          <w:rtl/>
        </w:rPr>
        <w:t xml:space="preserve"> ומר </w:t>
      </w:r>
      <w:r w:rsidR="007D3ADD">
        <w:rPr>
          <w:rFonts w:ascii="FrankRuehl" w:hAnsi="FrankRuehl" w:cs="FrankRuehl" w:hint="cs"/>
          <w:sz w:val="28"/>
          <w:szCs w:val="28"/>
          <w:rtl/>
        </w:rPr>
        <w:t>מ.ש</w:t>
      </w:r>
      <w:r>
        <w:rPr>
          <w:rFonts w:ascii="FrankRuehl" w:hAnsi="FrankRuehl" w:cs="FrankRuehl"/>
          <w:sz w:val="28"/>
          <w:szCs w:val="28"/>
          <w:rtl/>
        </w:rPr>
        <w:t xml:space="preserve"> (להלן: </w:t>
      </w:r>
      <w:r>
        <w:rPr>
          <w:rFonts w:ascii="FrankRuehl" w:hAnsi="FrankRuehl" w:cs="FrankRuehl"/>
          <w:b/>
          <w:bCs/>
          <w:sz w:val="28"/>
          <w:szCs w:val="28"/>
          <w:rtl/>
        </w:rPr>
        <w:t>"</w:t>
      </w:r>
      <w:r w:rsidR="007D3ADD">
        <w:rPr>
          <w:rFonts w:ascii="FrankRuehl" w:hAnsi="FrankRuehl" w:cs="FrankRuehl" w:hint="cs"/>
          <w:b/>
          <w:bCs/>
          <w:sz w:val="28"/>
          <w:szCs w:val="28"/>
          <w:rtl/>
        </w:rPr>
        <w:t>ח.ש</w:t>
      </w:r>
      <w:r>
        <w:rPr>
          <w:rFonts w:ascii="FrankRuehl" w:hAnsi="FrankRuehl" w:cs="FrankRuehl"/>
          <w:b/>
          <w:bCs/>
          <w:sz w:val="28"/>
          <w:szCs w:val="28"/>
          <w:rtl/>
        </w:rPr>
        <w:t>"  ו-"</w:t>
      </w:r>
      <w:r w:rsidR="007D3ADD">
        <w:rPr>
          <w:rFonts w:ascii="FrankRuehl" w:hAnsi="FrankRuehl" w:cs="FrankRuehl" w:hint="cs"/>
          <w:b/>
          <w:bCs/>
          <w:sz w:val="28"/>
          <w:szCs w:val="28"/>
          <w:rtl/>
        </w:rPr>
        <w:t>מ.ש</w:t>
      </w:r>
      <w:r>
        <w:rPr>
          <w:rFonts w:ascii="FrankRuehl" w:hAnsi="FrankRuehl" w:cs="FrankRuehl"/>
          <w:b/>
          <w:bCs/>
          <w:sz w:val="28"/>
          <w:szCs w:val="28"/>
          <w:rtl/>
        </w:rPr>
        <w:t>"</w:t>
      </w:r>
      <w:r>
        <w:rPr>
          <w:rFonts w:ascii="FrankRuehl" w:hAnsi="FrankRuehl" w:cs="FrankRuehl"/>
          <w:sz w:val="28"/>
          <w:szCs w:val="28"/>
          <w:rtl/>
        </w:rPr>
        <w:t xml:space="preserve"> בהתאמה או </w:t>
      </w:r>
      <w:r>
        <w:rPr>
          <w:rFonts w:ascii="FrankRuehl" w:hAnsi="FrankRuehl" w:cs="FrankRuehl"/>
          <w:b/>
          <w:bCs/>
          <w:sz w:val="28"/>
          <w:szCs w:val="28"/>
          <w:rtl/>
        </w:rPr>
        <w:t>"המערערים"</w:t>
      </w:r>
      <w:r>
        <w:rPr>
          <w:rFonts w:ascii="FrankRuehl" w:hAnsi="FrankRuehl" w:cs="FrankRuehl"/>
          <w:sz w:val="28"/>
          <w:szCs w:val="28"/>
          <w:rtl/>
        </w:rPr>
        <w:t xml:space="preserve">) הינם ילדיו של </w:t>
      </w:r>
      <w:r w:rsidR="007D3ADD">
        <w:rPr>
          <w:rFonts w:ascii="FrankRuehl" w:hAnsi="FrankRuehl" w:cs="FrankRuehl" w:hint="cs"/>
          <w:sz w:val="28"/>
          <w:szCs w:val="28"/>
          <w:rtl/>
        </w:rPr>
        <w:t>מ.ש</w:t>
      </w:r>
      <w:r>
        <w:rPr>
          <w:rFonts w:ascii="FrankRuehl" w:hAnsi="FrankRuehl" w:cs="FrankRuehl"/>
          <w:sz w:val="28"/>
          <w:szCs w:val="28"/>
          <w:rtl/>
        </w:rPr>
        <w:t xml:space="preserve"> ז"ל, אחיו של </w:t>
      </w:r>
      <w:r w:rsidR="007D3ADD">
        <w:rPr>
          <w:rFonts w:ascii="FrankRuehl" w:hAnsi="FrankRuehl" w:cs="FrankRuehl" w:hint="cs"/>
          <w:sz w:val="28"/>
          <w:szCs w:val="28"/>
          <w:rtl/>
        </w:rPr>
        <w:t>ז.ש</w:t>
      </w:r>
      <w:r>
        <w:rPr>
          <w:rFonts w:ascii="FrankRuehl" w:hAnsi="FrankRuehl" w:cs="FrankRuehl"/>
          <w:sz w:val="28"/>
          <w:szCs w:val="28"/>
          <w:rtl/>
        </w:rPr>
        <w:t xml:space="preserve"> ז"ל.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lastRenderedPageBreak/>
        <w:t xml:space="preserve">ביום 23.7.89 ערכו המנוחים צוואה הדדית בפני שני עדים: עו"ד אהרון מרגלית ואסעד אבו זולוף. במסגרת הצוואה הורישו המנוחים את רכושם זה לזו ובאם ילכו לעולמם יחדיו, יחולק עיזבונם בחלקים שווים; חלקו של </w:t>
      </w:r>
      <w:r w:rsidR="007D3ADD">
        <w:rPr>
          <w:rFonts w:ascii="FrankRuehl" w:hAnsi="FrankRuehl" w:cs="FrankRuehl" w:hint="cs"/>
          <w:sz w:val="28"/>
          <w:szCs w:val="28"/>
          <w:rtl/>
        </w:rPr>
        <w:t>ז.ש</w:t>
      </w:r>
      <w:r>
        <w:rPr>
          <w:rFonts w:ascii="FrankRuehl" w:hAnsi="FrankRuehl" w:cs="FrankRuehl"/>
          <w:sz w:val="28"/>
          <w:szCs w:val="28"/>
          <w:rtl/>
        </w:rPr>
        <w:t xml:space="preserve"> לאחיו היחיד, </w:t>
      </w:r>
      <w:r w:rsidR="007D3ADD">
        <w:rPr>
          <w:rFonts w:ascii="FrankRuehl" w:hAnsi="FrankRuehl" w:cs="FrankRuehl" w:hint="cs"/>
          <w:sz w:val="28"/>
          <w:szCs w:val="28"/>
          <w:rtl/>
        </w:rPr>
        <w:t>מ.ש</w:t>
      </w:r>
      <w:r>
        <w:rPr>
          <w:rFonts w:ascii="FrankRuehl" w:hAnsi="FrankRuehl" w:cs="FrankRuehl"/>
          <w:sz w:val="28"/>
          <w:szCs w:val="28"/>
          <w:rtl/>
        </w:rPr>
        <w:t xml:space="preserve"> וחלקה של </w:t>
      </w:r>
      <w:r w:rsidR="007D3ADD">
        <w:rPr>
          <w:rFonts w:ascii="FrankRuehl" w:hAnsi="FrankRuehl" w:cs="FrankRuehl" w:hint="cs"/>
          <w:sz w:val="28"/>
          <w:szCs w:val="28"/>
          <w:rtl/>
        </w:rPr>
        <w:t>ר.ש</w:t>
      </w:r>
      <w:r>
        <w:rPr>
          <w:rFonts w:ascii="FrankRuehl" w:hAnsi="FrankRuehl" w:cs="FrankRuehl"/>
          <w:sz w:val="28"/>
          <w:szCs w:val="28"/>
          <w:rtl/>
        </w:rPr>
        <w:t xml:space="preserve"> לאחיה, </w:t>
      </w:r>
      <w:r w:rsidR="007D3ADD">
        <w:rPr>
          <w:rFonts w:ascii="FrankRuehl" w:hAnsi="FrankRuehl" w:cs="FrankRuehl" w:hint="cs"/>
          <w:sz w:val="28"/>
          <w:szCs w:val="28"/>
          <w:rtl/>
        </w:rPr>
        <w:t>ד.ש</w:t>
      </w:r>
      <w:r>
        <w:rPr>
          <w:rFonts w:ascii="FrankRuehl" w:hAnsi="FrankRuehl" w:cs="FrankRuehl"/>
          <w:sz w:val="28"/>
          <w:szCs w:val="28"/>
          <w:rtl/>
        </w:rPr>
        <w:t xml:space="preserve">.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עיקר פסק דינו של בית המשפט קמא, כמו גם הערעור שבפנינו נסובים על לשון הצוואה ומשכך, נביא את החלקים הרלוונטיים הימנה כבר עתה:</w:t>
      </w:r>
    </w:p>
    <w:p w:rsidR="00960807" w:rsidRDefault="00960807" w:rsidP="00960807">
      <w:pPr>
        <w:spacing w:line="360" w:lineRule="auto"/>
        <w:ind w:left="1218" w:right="993" w:hanging="425"/>
        <w:jc w:val="both"/>
        <w:rPr>
          <w:rFonts w:ascii="FrankRuehl" w:hAnsi="FrankRuehl" w:cs="FrankRuehl"/>
          <w:b/>
          <w:bCs/>
          <w:sz w:val="28"/>
          <w:szCs w:val="28"/>
        </w:rPr>
      </w:pPr>
      <w:r>
        <w:rPr>
          <w:rFonts w:ascii="FrankRuehl" w:hAnsi="FrankRuehl" w:cs="FrankRuehl"/>
          <w:b/>
          <w:bCs/>
          <w:sz w:val="28"/>
          <w:szCs w:val="28"/>
          <w:rtl/>
        </w:rPr>
        <w:t>"...</w:t>
      </w:r>
    </w:p>
    <w:p w:rsidR="00960807" w:rsidRDefault="00960807" w:rsidP="00960807">
      <w:pPr>
        <w:spacing w:line="360" w:lineRule="auto"/>
        <w:ind w:left="1218" w:right="993" w:hanging="425"/>
        <w:jc w:val="both"/>
        <w:rPr>
          <w:rFonts w:ascii="FrankRuehl" w:hAnsi="FrankRuehl" w:cs="FrankRuehl"/>
          <w:b/>
          <w:bCs/>
          <w:sz w:val="28"/>
          <w:szCs w:val="28"/>
          <w:rtl/>
        </w:rPr>
      </w:pPr>
      <w:r>
        <w:rPr>
          <w:rFonts w:ascii="FrankRuehl" w:hAnsi="FrankRuehl" w:cs="FrankRuehl"/>
          <w:b/>
          <w:bCs/>
          <w:sz w:val="28"/>
          <w:szCs w:val="28"/>
          <w:rtl/>
        </w:rPr>
        <w:t>2.</w:t>
      </w:r>
      <w:r>
        <w:rPr>
          <w:rFonts w:ascii="FrankRuehl" w:hAnsi="FrankRuehl" w:cs="FrankRuehl"/>
          <w:b/>
          <w:bCs/>
          <w:sz w:val="28"/>
          <w:szCs w:val="28"/>
          <w:rtl/>
        </w:rPr>
        <w:tab/>
        <w:t>כפוף לאמור בסעיף (3) להלן, הננו מקנים בזה, משעה אחת לפני פטירתנו מן העולם את כל רכושנו, בין בנכסי דלא ניידי ובין במטלטלין, בין בכסף ובפקדונות בבנקים או בכל מוסד אחר.... לרבות זכויותינו וזכויות כל אחד מאיתנו בבית בו אנו מתגורר</w:t>
      </w:r>
      <w:r w:rsidR="007D3ADD">
        <w:rPr>
          <w:rFonts w:ascii="FrankRuehl" w:hAnsi="FrankRuehl" w:cs="FrankRuehl"/>
          <w:b/>
          <w:bCs/>
          <w:sz w:val="28"/>
          <w:szCs w:val="28"/>
          <w:rtl/>
        </w:rPr>
        <w:t xml:space="preserve">ים והמצוי ברחוב .... </w:t>
      </w:r>
      <w:r w:rsidR="007D3ADD">
        <w:rPr>
          <w:rFonts w:ascii="FrankRuehl" w:hAnsi="FrankRuehl" w:cs="FrankRuehl" w:hint="cs"/>
          <w:b/>
          <w:bCs/>
          <w:sz w:val="28"/>
          <w:szCs w:val="28"/>
        </w:rPr>
        <w:t>X</w:t>
      </w:r>
      <w:r>
        <w:rPr>
          <w:rFonts w:ascii="FrankRuehl" w:hAnsi="FrankRuehl" w:cs="FrankRuehl"/>
          <w:b/>
          <w:bCs/>
          <w:sz w:val="28"/>
          <w:szCs w:val="28"/>
          <w:rtl/>
        </w:rPr>
        <w:t>, הידוע כחלקה.... בגוש...., לזולתנו הנותר בחיים אחרי אחד מאיתנו, במקרה של פטירתו של אחד מאתנו מן העולם (הכל יקרא להלן – "הרכוש").</w:t>
      </w:r>
    </w:p>
    <w:p w:rsidR="00960807" w:rsidRDefault="00960807" w:rsidP="007D3ADD">
      <w:pPr>
        <w:spacing w:line="360" w:lineRule="auto"/>
        <w:ind w:left="1218" w:right="993" w:hanging="425"/>
        <w:jc w:val="both"/>
        <w:rPr>
          <w:rFonts w:ascii="FrankRuehl" w:hAnsi="FrankRuehl" w:cs="FrankRuehl"/>
          <w:b/>
          <w:bCs/>
          <w:sz w:val="28"/>
          <w:szCs w:val="28"/>
          <w:rtl/>
        </w:rPr>
      </w:pPr>
      <w:r>
        <w:rPr>
          <w:rFonts w:ascii="FrankRuehl" w:hAnsi="FrankRuehl" w:cs="FrankRuehl"/>
          <w:b/>
          <w:bCs/>
          <w:sz w:val="28"/>
          <w:szCs w:val="28"/>
          <w:rtl/>
        </w:rPr>
        <w:t xml:space="preserve">3. </w:t>
      </w:r>
      <w:r>
        <w:rPr>
          <w:rFonts w:ascii="FrankRuehl" w:hAnsi="FrankRuehl" w:cs="FrankRuehl"/>
          <w:b/>
          <w:bCs/>
          <w:sz w:val="28"/>
          <w:szCs w:val="28"/>
          <w:rtl/>
        </w:rPr>
        <w:tab/>
        <w:t xml:space="preserve">למרות האמור בסעיף (2) לעיל, אני, </w:t>
      </w:r>
      <w:r w:rsidR="007D3ADD">
        <w:rPr>
          <w:rFonts w:ascii="FrankRuehl" w:hAnsi="FrankRuehl" w:cs="FrankRuehl" w:hint="cs"/>
          <w:b/>
          <w:bCs/>
          <w:sz w:val="28"/>
          <w:szCs w:val="28"/>
          <w:rtl/>
        </w:rPr>
        <w:t>ז.ש</w:t>
      </w:r>
      <w:r>
        <w:rPr>
          <w:rFonts w:ascii="FrankRuehl" w:hAnsi="FrankRuehl" w:cs="FrankRuehl"/>
          <w:b/>
          <w:bCs/>
          <w:sz w:val="28"/>
          <w:szCs w:val="28"/>
          <w:rtl/>
        </w:rPr>
        <w:t>, מקנה בזה את הרכוש המפורט להלן, היינו:</w:t>
      </w:r>
    </w:p>
    <w:p w:rsidR="00960807" w:rsidRDefault="00960807" w:rsidP="007D3ADD">
      <w:pPr>
        <w:spacing w:line="360" w:lineRule="auto"/>
        <w:ind w:left="1218" w:right="993"/>
        <w:jc w:val="both"/>
        <w:rPr>
          <w:rFonts w:ascii="FrankRuehl" w:hAnsi="FrankRuehl" w:cs="FrankRuehl"/>
          <w:b/>
          <w:bCs/>
          <w:sz w:val="28"/>
          <w:szCs w:val="28"/>
          <w:rtl/>
        </w:rPr>
      </w:pPr>
      <w:r>
        <w:rPr>
          <w:rFonts w:ascii="FrankRuehl" w:hAnsi="FrankRuehl" w:cs="FrankRuehl"/>
          <w:b/>
          <w:bCs/>
          <w:sz w:val="28"/>
          <w:szCs w:val="28"/>
          <w:rtl/>
        </w:rPr>
        <w:t xml:space="preserve">כספים המופקדים על שמי ו/או על שמה של אמי גב' </w:t>
      </w:r>
      <w:r w:rsidR="007D3ADD">
        <w:rPr>
          <w:rFonts w:ascii="FrankRuehl" w:hAnsi="FrankRuehl" w:cs="FrankRuehl" w:hint="cs"/>
          <w:b/>
          <w:bCs/>
          <w:sz w:val="28"/>
          <w:szCs w:val="28"/>
          <w:rtl/>
        </w:rPr>
        <w:t>פ.ש</w:t>
      </w:r>
      <w:r>
        <w:rPr>
          <w:rFonts w:ascii="FrankRuehl" w:hAnsi="FrankRuehl" w:cs="FrankRuehl"/>
          <w:b/>
          <w:bCs/>
          <w:sz w:val="28"/>
          <w:szCs w:val="28"/>
          <w:rtl/>
        </w:rPr>
        <w:t xml:space="preserve"> ו/או שמו של אחי </w:t>
      </w:r>
      <w:r w:rsidR="007D3ADD">
        <w:rPr>
          <w:rFonts w:ascii="FrankRuehl" w:hAnsi="FrankRuehl" w:cs="FrankRuehl" w:hint="cs"/>
          <w:b/>
          <w:bCs/>
          <w:sz w:val="28"/>
          <w:szCs w:val="28"/>
          <w:rtl/>
        </w:rPr>
        <w:t>מ.ש</w:t>
      </w:r>
      <w:r>
        <w:rPr>
          <w:rFonts w:ascii="FrankRuehl" w:hAnsi="FrankRuehl" w:cs="FrankRuehl"/>
          <w:b/>
          <w:bCs/>
          <w:sz w:val="28"/>
          <w:szCs w:val="28"/>
          <w:rtl/>
        </w:rPr>
        <w:t xml:space="preserve">, בבנק לאומי לישראל בע"מ סניף.... וכן חלקי בדירה בה מתגוררת אמי והנמצאת ברחוב....... חיפה, לאמי, גב' </w:t>
      </w:r>
      <w:r w:rsidR="007D3ADD">
        <w:rPr>
          <w:rFonts w:ascii="FrankRuehl" w:hAnsi="FrankRuehl" w:cs="FrankRuehl" w:hint="cs"/>
          <w:b/>
          <w:bCs/>
          <w:sz w:val="28"/>
          <w:szCs w:val="28"/>
          <w:rtl/>
        </w:rPr>
        <w:t>פ.ש</w:t>
      </w:r>
      <w:r>
        <w:rPr>
          <w:rFonts w:ascii="FrankRuehl" w:hAnsi="FrankRuehl" w:cs="FrankRuehl"/>
          <w:b/>
          <w:bCs/>
          <w:sz w:val="28"/>
          <w:szCs w:val="28"/>
          <w:rtl/>
        </w:rPr>
        <w:t xml:space="preserve">. </w:t>
      </w:r>
    </w:p>
    <w:p w:rsidR="00960807" w:rsidRDefault="00960807" w:rsidP="007D3ADD">
      <w:pPr>
        <w:spacing w:line="360" w:lineRule="auto"/>
        <w:ind w:left="1218" w:right="993" w:hanging="425"/>
        <w:jc w:val="both"/>
        <w:rPr>
          <w:rFonts w:ascii="FrankRuehl" w:hAnsi="FrankRuehl" w:cs="FrankRuehl"/>
          <w:b/>
          <w:bCs/>
          <w:sz w:val="28"/>
          <w:szCs w:val="28"/>
          <w:rtl/>
        </w:rPr>
      </w:pPr>
      <w:r>
        <w:rPr>
          <w:rFonts w:ascii="FrankRuehl" w:hAnsi="FrankRuehl" w:cs="FrankRuehl"/>
          <w:b/>
          <w:bCs/>
          <w:sz w:val="28"/>
          <w:szCs w:val="28"/>
          <w:rtl/>
        </w:rPr>
        <w:t xml:space="preserve">4. </w:t>
      </w:r>
      <w:r>
        <w:rPr>
          <w:rFonts w:ascii="FrankRuehl" w:hAnsi="FrankRuehl" w:cs="FrankRuehl"/>
          <w:b/>
          <w:bCs/>
          <w:sz w:val="28"/>
          <w:szCs w:val="28"/>
          <w:rtl/>
        </w:rPr>
        <w:tab/>
        <w:t xml:space="preserve">אם חס וחלילה אמי, גב' </w:t>
      </w:r>
      <w:r w:rsidR="007D3ADD">
        <w:rPr>
          <w:rFonts w:ascii="FrankRuehl" w:hAnsi="FrankRuehl" w:cs="FrankRuehl" w:hint="cs"/>
          <w:b/>
          <w:bCs/>
          <w:sz w:val="28"/>
          <w:szCs w:val="28"/>
          <w:rtl/>
        </w:rPr>
        <w:t>פ.ש</w:t>
      </w:r>
      <w:r>
        <w:rPr>
          <w:rFonts w:ascii="FrankRuehl" w:hAnsi="FrankRuehl" w:cs="FrankRuehl"/>
          <w:b/>
          <w:bCs/>
          <w:sz w:val="28"/>
          <w:szCs w:val="28"/>
          <w:rtl/>
        </w:rPr>
        <w:t xml:space="preserve"> תלך לעולמה לפני או ביחד עמי, אזי שאני מקנה את חלקה בעיזבון המפורט בסעיף (3) לעיל, לאחי </w:t>
      </w:r>
      <w:r w:rsidR="007D3ADD">
        <w:rPr>
          <w:rFonts w:ascii="FrankRuehl" w:hAnsi="FrankRuehl" w:cs="FrankRuehl" w:hint="cs"/>
          <w:b/>
          <w:bCs/>
          <w:sz w:val="28"/>
          <w:szCs w:val="28"/>
          <w:rtl/>
        </w:rPr>
        <w:t>מ.ש</w:t>
      </w:r>
      <w:r>
        <w:rPr>
          <w:rFonts w:ascii="FrankRuehl" w:hAnsi="FrankRuehl" w:cs="FrankRuehl"/>
          <w:b/>
          <w:bCs/>
          <w:sz w:val="28"/>
          <w:szCs w:val="28"/>
          <w:rtl/>
        </w:rPr>
        <w:t xml:space="preserve"> בעל ת.ז. ... מרחוב ....". </w:t>
      </w:r>
    </w:p>
    <w:p w:rsidR="00960807" w:rsidRDefault="00960807" w:rsidP="00960807">
      <w:pPr>
        <w:spacing w:line="360" w:lineRule="auto"/>
        <w:ind w:left="1218" w:right="993" w:hanging="425"/>
        <w:jc w:val="both"/>
        <w:rPr>
          <w:rFonts w:ascii="FrankRuehl" w:hAnsi="FrankRuehl" w:cs="FrankRuehl"/>
          <w:b/>
          <w:bCs/>
          <w:sz w:val="28"/>
          <w:szCs w:val="28"/>
          <w:rtl/>
        </w:rPr>
      </w:pPr>
      <w:r>
        <w:rPr>
          <w:rFonts w:ascii="FrankRuehl" w:hAnsi="FrankRuehl" w:cs="FrankRuehl"/>
          <w:b/>
          <w:bCs/>
          <w:sz w:val="28"/>
          <w:szCs w:val="28"/>
          <w:rtl/>
        </w:rPr>
        <w:t xml:space="preserve">5. </w:t>
      </w:r>
      <w:r>
        <w:rPr>
          <w:rFonts w:ascii="FrankRuehl" w:hAnsi="FrankRuehl" w:cs="FrankRuehl"/>
          <w:b/>
          <w:bCs/>
          <w:sz w:val="28"/>
          <w:szCs w:val="28"/>
          <w:rtl/>
        </w:rPr>
        <w:tab/>
        <w:t>אם חס וחלילה, נפטר מן העולם יחדיו, אזי שאנו מצווים בזה כי חלקו של כל אחד מאיתנו יוקנה כדלקמן:</w:t>
      </w:r>
    </w:p>
    <w:p w:rsidR="00960807" w:rsidRDefault="00960807" w:rsidP="007D3ADD">
      <w:pPr>
        <w:spacing w:line="360" w:lineRule="auto"/>
        <w:ind w:left="1218" w:right="993"/>
        <w:jc w:val="both"/>
        <w:rPr>
          <w:rFonts w:ascii="FrankRuehl" w:hAnsi="FrankRuehl" w:cs="FrankRuehl"/>
          <w:b/>
          <w:bCs/>
          <w:sz w:val="28"/>
          <w:szCs w:val="28"/>
          <w:rtl/>
        </w:rPr>
      </w:pPr>
      <w:r>
        <w:rPr>
          <w:rFonts w:ascii="FrankRuehl" w:hAnsi="FrankRuehl" w:cs="FrankRuehl"/>
          <w:b/>
          <w:bCs/>
          <w:sz w:val="28"/>
          <w:szCs w:val="28"/>
          <w:rtl/>
        </w:rPr>
        <w:t xml:space="preserve">חלקי, </w:t>
      </w:r>
      <w:r w:rsidR="007D3ADD">
        <w:rPr>
          <w:rFonts w:ascii="FrankRuehl" w:hAnsi="FrankRuehl" w:cs="FrankRuehl" w:hint="cs"/>
          <w:b/>
          <w:bCs/>
          <w:sz w:val="28"/>
          <w:szCs w:val="28"/>
          <w:rtl/>
        </w:rPr>
        <w:t>ז.ש</w:t>
      </w:r>
      <w:r>
        <w:rPr>
          <w:rFonts w:ascii="FrankRuehl" w:hAnsi="FrankRuehl" w:cs="FrankRuehl"/>
          <w:b/>
          <w:bCs/>
          <w:sz w:val="28"/>
          <w:szCs w:val="28"/>
          <w:rtl/>
        </w:rPr>
        <w:t xml:space="preserve">, יוקנה לאחי, </w:t>
      </w:r>
      <w:r w:rsidR="007D3ADD">
        <w:rPr>
          <w:rFonts w:ascii="FrankRuehl" w:hAnsi="FrankRuehl" w:cs="FrankRuehl" w:hint="cs"/>
          <w:b/>
          <w:bCs/>
          <w:sz w:val="28"/>
          <w:szCs w:val="28"/>
          <w:rtl/>
        </w:rPr>
        <w:t>מ.ש</w:t>
      </w:r>
      <w:r>
        <w:rPr>
          <w:rFonts w:ascii="FrankRuehl" w:hAnsi="FrankRuehl" w:cs="FrankRuehl"/>
          <w:b/>
          <w:bCs/>
          <w:sz w:val="28"/>
          <w:szCs w:val="28"/>
          <w:rtl/>
        </w:rPr>
        <w:t>, בעל ת.ז. ..... מרחוב ......</w:t>
      </w:r>
    </w:p>
    <w:p w:rsidR="00960807" w:rsidRDefault="00960807" w:rsidP="007D3ADD">
      <w:pPr>
        <w:spacing w:line="360" w:lineRule="auto"/>
        <w:ind w:left="1218" w:right="993"/>
        <w:jc w:val="both"/>
        <w:rPr>
          <w:rFonts w:ascii="FrankRuehl" w:hAnsi="FrankRuehl" w:cs="FrankRuehl"/>
          <w:b/>
          <w:bCs/>
          <w:sz w:val="28"/>
          <w:szCs w:val="28"/>
          <w:rtl/>
        </w:rPr>
      </w:pPr>
      <w:r>
        <w:rPr>
          <w:rFonts w:ascii="FrankRuehl" w:hAnsi="FrankRuehl" w:cs="FrankRuehl"/>
          <w:b/>
          <w:bCs/>
          <w:sz w:val="28"/>
          <w:szCs w:val="28"/>
          <w:rtl/>
        </w:rPr>
        <w:t xml:space="preserve">חלקי, </w:t>
      </w:r>
      <w:r w:rsidR="007D3ADD">
        <w:rPr>
          <w:rFonts w:ascii="FrankRuehl" w:hAnsi="FrankRuehl" w:cs="FrankRuehl" w:hint="cs"/>
          <w:b/>
          <w:bCs/>
          <w:sz w:val="28"/>
          <w:szCs w:val="28"/>
          <w:rtl/>
        </w:rPr>
        <w:t>ר.ש</w:t>
      </w:r>
      <w:r>
        <w:rPr>
          <w:rFonts w:ascii="FrankRuehl" w:hAnsi="FrankRuehl" w:cs="FrankRuehl"/>
          <w:b/>
          <w:bCs/>
          <w:sz w:val="28"/>
          <w:szCs w:val="28"/>
          <w:rtl/>
        </w:rPr>
        <w:t xml:space="preserve">, יוקנה לאחי, </w:t>
      </w:r>
      <w:r w:rsidR="007D3ADD">
        <w:rPr>
          <w:rFonts w:ascii="FrankRuehl" w:hAnsi="FrankRuehl" w:cs="FrankRuehl" w:hint="cs"/>
          <w:b/>
          <w:bCs/>
          <w:sz w:val="28"/>
          <w:szCs w:val="28"/>
          <w:rtl/>
        </w:rPr>
        <w:t>ד.ש</w:t>
      </w:r>
      <w:r>
        <w:rPr>
          <w:rFonts w:ascii="FrankRuehl" w:hAnsi="FrankRuehl" w:cs="FrankRuehl"/>
          <w:b/>
          <w:bCs/>
          <w:sz w:val="28"/>
          <w:szCs w:val="28"/>
          <w:rtl/>
        </w:rPr>
        <w:t>, בעל ת.ז. ..... מרחוב ....."</w:t>
      </w:r>
    </w:p>
    <w:p w:rsidR="00960807" w:rsidRDefault="00960807" w:rsidP="00960807">
      <w:pPr>
        <w:spacing w:line="360" w:lineRule="auto"/>
        <w:ind w:left="1218" w:right="993" w:hanging="425"/>
        <w:jc w:val="both"/>
        <w:rPr>
          <w:rFonts w:ascii="FrankRuehl" w:hAnsi="FrankRuehl" w:cs="FrankRuehl"/>
          <w:b/>
          <w:bCs/>
          <w:sz w:val="28"/>
          <w:szCs w:val="28"/>
          <w:rtl/>
        </w:rPr>
      </w:pPr>
    </w:p>
    <w:p w:rsidR="00960807" w:rsidRDefault="007D3ADD"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hint="cs"/>
          <w:sz w:val="28"/>
          <w:szCs w:val="28"/>
          <w:rtl/>
        </w:rPr>
        <w:lastRenderedPageBreak/>
        <w:t>ז.ש</w:t>
      </w:r>
      <w:r w:rsidR="00960807">
        <w:rPr>
          <w:rFonts w:ascii="FrankRuehl" w:hAnsi="FrankRuehl" w:cs="FrankRuehl"/>
          <w:sz w:val="28"/>
          <w:szCs w:val="28"/>
          <w:rtl/>
        </w:rPr>
        <w:t xml:space="preserve"> הלך לבית עולמו ביום 17.12.2016 וצוואתו קוימה ביום 21.3.2017, לא הוגשה התנגדות לקיום הצוואה. </w:t>
      </w:r>
      <w:r>
        <w:rPr>
          <w:rFonts w:ascii="FrankRuehl" w:hAnsi="FrankRuehl" w:cs="FrankRuehl" w:hint="cs"/>
          <w:sz w:val="28"/>
          <w:szCs w:val="28"/>
          <w:rtl/>
        </w:rPr>
        <w:t>ר.ש</w:t>
      </w:r>
      <w:r w:rsidR="00960807">
        <w:rPr>
          <w:rFonts w:ascii="FrankRuehl" w:hAnsi="FrankRuehl" w:cs="FrankRuehl"/>
          <w:sz w:val="28"/>
          <w:szCs w:val="28"/>
          <w:rtl/>
        </w:rPr>
        <w:t xml:space="preserve"> הלכה לבית עולמה ביום 15.8.2019 ולהשלמת התמונה יצוין, כי </w:t>
      </w:r>
      <w:r>
        <w:rPr>
          <w:rFonts w:ascii="FrankRuehl" w:hAnsi="FrankRuehl" w:cs="FrankRuehl" w:hint="cs"/>
          <w:sz w:val="28"/>
          <w:szCs w:val="28"/>
          <w:rtl/>
        </w:rPr>
        <w:t>מ.ש</w:t>
      </w:r>
      <w:r w:rsidR="00960807">
        <w:rPr>
          <w:rFonts w:ascii="FrankRuehl" w:hAnsi="FrankRuehl" w:cs="FrankRuehl"/>
          <w:sz w:val="28"/>
          <w:szCs w:val="28"/>
          <w:rtl/>
        </w:rPr>
        <w:t xml:space="preserve">, אחיו של </w:t>
      </w:r>
      <w:r>
        <w:rPr>
          <w:rFonts w:ascii="FrankRuehl" w:hAnsi="FrankRuehl" w:cs="FrankRuehl" w:hint="cs"/>
          <w:sz w:val="28"/>
          <w:szCs w:val="28"/>
          <w:rtl/>
        </w:rPr>
        <w:t>ז.ש</w:t>
      </w:r>
      <w:r w:rsidR="00960807">
        <w:rPr>
          <w:rFonts w:ascii="FrankRuehl" w:hAnsi="FrankRuehl" w:cs="FrankRuehl"/>
          <w:sz w:val="28"/>
          <w:szCs w:val="28"/>
          <w:rtl/>
        </w:rPr>
        <w:t xml:space="preserve">, הלך לבית עולמו בשנת 2015, טרם פטירתם של המנוחים.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לפני בית המשפט קמא, עמדו בקשתם של </w:t>
      </w:r>
      <w:r w:rsidR="007D3ADD">
        <w:rPr>
          <w:rFonts w:ascii="FrankRuehl" w:hAnsi="FrankRuehl" w:cs="FrankRuehl" w:hint="cs"/>
          <w:sz w:val="28"/>
          <w:szCs w:val="28"/>
          <w:rtl/>
        </w:rPr>
        <w:t>ח.ש</w:t>
      </w:r>
      <w:r>
        <w:rPr>
          <w:rFonts w:ascii="FrankRuehl" w:hAnsi="FrankRuehl" w:cs="FrankRuehl"/>
          <w:sz w:val="28"/>
          <w:szCs w:val="28"/>
          <w:rtl/>
        </w:rPr>
        <w:t xml:space="preserve"> </w:t>
      </w:r>
      <w:r w:rsidR="007D3ADD">
        <w:rPr>
          <w:rFonts w:ascii="FrankRuehl" w:hAnsi="FrankRuehl" w:cs="FrankRuehl" w:hint="cs"/>
          <w:sz w:val="28"/>
          <w:szCs w:val="28"/>
          <w:rtl/>
        </w:rPr>
        <w:t>ו-מ.ש</w:t>
      </w:r>
      <w:r>
        <w:rPr>
          <w:rFonts w:ascii="FrankRuehl" w:hAnsi="FrankRuehl" w:cs="FrankRuehl"/>
          <w:sz w:val="28"/>
          <w:szCs w:val="28"/>
          <w:rtl/>
        </w:rPr>
        <w:t xml:space="preserve">, ילדיו של מר </w:t>
      </w:r>
      <w:r w:rsidR="007D3ADD">
        <w:rPr>
          <w:rFonts w:ascii="FrankRuehl" w:hAnsi="FrankRuehl" w:cs="FrankRuehl" w:hint="cs"/>
          <w:sz w:val="28"/>
          <w:szCs w:val="28"/>
          <w:rtl/>
        </w:rPr>
        <w:t>מ.ש</w:t>
      </w:r>
      <w:r>
        <w:rPr>
          <w:rFonts w:ascii="FrankRuehl" w:hAnsi="FrankRuehl" w:cs="FrankRuehl"/>
          <w:sz w:val="28"/>
          <w:szCs w:val="28"/>
          <w:rtl/>
        </w:rPr>
        <w:t xml:space="preserve"> ז"ל, לקיום צוואתה של </w:t>
      </w:r>
      <w:r w:rsidR="007D3ADD">
        <w:rPr>
          <w:rFonts w:ascii="FrankRuehl" w:hAnsi="FrankRuehl" w:cs="FrankRuehl" w:hint="cs"/>
          <w:sz w:val="28"/>
          <w:szCs w:val="28"/>
          <w:rtl/>
        </w:rPr>
        <w:t>ר.ש</w:t>
      </w:r>
      <w:r>
        <w:rPr>
          <w:rFonts w:ascii="FrankRuehl" w:hAnsi="FrankRuehl" w:cs="FrankRuehl"/>
          <w:sz w:val="28"/>
          <w:szCs w:val="28"/>
          <w:rtl/>
        </w:rPr>
        <w:t xml:space="preserve"> (</w:t>
      </w:r>
      <w:r>
        <w:rPr>
          <w:rFonts w:ascii="FrankRuehl" w:hAnsi="FrankRuehl" w:cs="FrankRuehl"/>
          <w:b/>
          <w:bCs/>
          <w:sz w:val="28"/>
          <w:szCs w:val="28"/>
          <w:rtl/>
        </w:rPr>
        <w:t>42405-01-20</w:t>
      </w:r>
      <w:r>
        <w:rPr>
          <w:rFonts w:ascii="FrankRuehl" w:hAnsi="FrankRuehl" w:cs="FrankRuehl"/>
          <w:sz w:val="28"/>
          <w:szCs w:val="28"/>
          <w:rtl/>
        </w:rPr>
        <w:t xml:space="preserve">), התנגדות של </w:t>
      </w:r>
      <w:r w:rsidR="007D3ADD">
        <w:rPr>
          <w:rFonts w:ascii="FrankRuehl" w:hAnsi="FrankRuehl" w:cs="FrankRuehl" w:hint="cs"/>
          <w:sz w:val="28"/>
          <w:szCs w:val="28"/>
          <w:rtl/>
        </w:rPr>
        <w:t>ד.ש</w:t>
      </w:r>
      <w:r>
        <w:rPr>
          <w:rFonts w:ascii="FrankRuehl" w:hAnsi="FrankRuehl" w:cs="FrankRuehl"/>
          <w:sz w:val="28"/>
          <w:szCs w:val="28"/>
          <w:rtl/>
        </w:rPr>
        <w:t xml:space="preserve"> לקיום הצוואה וכן בקשתו למתן צו ירושה אחר </w:t>
      </w:r>
      <w:r w:rsidR="007D3ADD">
        <w:rPr>
          <w:rFonts w:ascii="FrankRuehl" w:hAnsi="FrankRuehl" w:cs="FrankRuehl" w:hint="cs"/>
          <w:sz w:val="28"/>
          <w:szCs w:val="28"/>
          <w:rtl/>
        </w:rPr>
        <w:t>ר.ש</w:t>
      </w:r>
      <w:r>
        <w:rPr>
          <w:rFonts w:ascii="FrankRuehl" w:hAnsi="FrankRuehl" w:cs="FrankRuehl"/>
          <w:sz w:val="28"/>
          <w:szCs w:val="28"/>
          <w:rtl/>
        </w:rPr>
        <w:t xml:space="preserve"> (</w:t>
      </w:r>
      <w:r>
        <w:rPr>
          <w:rFonts w:ascii="FrankRuehl" w:hAnsi="FrankRuehl" w:cs="FrankRuehl"/>
          <w:b/>
          <w:bCs/>
          <w:sz w:val="28"/>
          <w:szCs w:val="28"/>
          <w:rtl/>
        </w:rPr>
        <w:t>43505-01-20</w:t>
      </w:r>
      <w:r>
        <w:rPr>
          <w:rFonts w:ascii="FrankRuehl" w:hAnsi="FrankRuehl" w:cs="FrankRuehl"/>
          <w:sz w:val="28"/>
          <w:szCs w:val="28"/>
          <w:rtl/>
        </w:rPr>
        <w:t xml:space="preserve">, </w:t>
      </w:r>
      <w:r>
        <w:rPr>
          <w:rFonts w:ascii="FrankRuehl" w:hAnsi="FrankRuehl" w:cs="FrankRuehl"/>
          <w:b/>
          <w:bCs/>
          <w:sz w:val="28"/>
          <w:szCs w:val="28"/>
          <w:rtl/>
        </w:rPr>
        <w:t>63028-02-20)</w:t>
      </w:r>
      <w:r>
        <w:rPr>
          <w:rFonts w:ascii="FrankRuehl" w:hAnsi="FrankRuehl" w:cs="FrankRuehl"/>
          <w:sz w:val="28"/>
          <w:szCs w:val="28"/>
          <w:rtl/>
        </w:rPr>
        <w:t>.</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בית המשפט קמא דחה את בקשתם של </w:t>
      </w:r>
      <w:r w:rsidR="007D3ADD">
        <w:rPr>
          <w:rFonts w:ascii="FrankRuehl" w:hAnsi="FrankRuehl" w:cs="FrankRuehl" w:hint="cs"/>
          <w:sz w:val="28"/>
          <w:szCs w:val="28"/>
          <w:rtl/>
        </w:rPr>
        <w:t>ח.ש</w:t>
      </w:r>
      <w:r>
        <w:rPr>
          <w:rFonts w:ascii="FrankRuehl" w:hAnsi="FrankRuehl" w:cs="FrankRuehl"/>
          <w:sz w:val="28"/>
          <w:szCs w:val="28"/>
          <w:rtl/>
        </w:rPr>
        <w:t xml:space="preserve"> ו</w:t>
      </w:r>
      <w:r w:rsidR="007D3ADD">
        <w:rPr>
          <w:rFonts w:ascii="FrankRuehl" w:hAnsi="FrankRuehl" w:cs="FrankRuehl" w:hint="cs"/>
          <w:sz w:val="28"/>
          <w:szCs w:val="28"/>
          <w:rtl/>
        </w:rPr>
        <w:t>-מ.ש</w:t>
      </w:r>
      <w:r>
        <w:rPr>
          <w:rFonts w:ascii="FrankRuehl" w:hAnsi="FrankRuehl" w:cs="FrankRuehl"/>
          <w:sz w:val="28"/>
          <w:szCs w:val="28"/>
          <w:rtl/>
        </w:rPr>
        <w:t xml:space="preserve"> לקיום צוואה, קיבל את התנגדותו של </w:t>
      </w:r>
      <w:r w:rsidR="007D3ADD">
        <w:rPr>
          <w:rFonts w:ascii="FrankRuehl" w:hAnsi="FrankRuehl" w:cs="FrankRuehl" w:hint="cs"/>
          <w:sz w:val="28"/>
          <w:szCs w:val="28"/>
          <w:rtl/>
        </w:rPr>
        <w:t>מ.ש</w:t>
      </w:r>
      <w:r>
        <w:rPr>
          <w:rFonts w:ascii="FrankRuehl" w:hAnsi="FrankRuehl" w:cs="FrankRuehl"/>
          <w:sz w:val="28"/>
          <w:szCs w:val="28"/>
          <w:rtl/>
        </w:rPr>
        <w:t xml:space="preserve"> לקיום הצוואה ואת בקשתו למתן צו ירושה. </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בתמצית קבע בית המשפט קמא, כי לשון הצוואה ברורה, כי המנוחים ביקשו לקבוע הוראה הדדית לפיה, עם מותו של אחד יועבר כלל רכושו לאחר על מנת שיעשה בו כרצונו ורק באם ילכו לעולמם יחדיו, היינו, באותה עת, יתחלק עיזבונם בחלקים שווים, לשני אחיהם. משלא כך היה, היינו, </w:t>
      </w:r>
      <w:r w:rsidR="007D3ADD">
        <w:rPr>
          <w:rFonts w:ascii="FrankRuehl" w:hAnsi="FrankRuehl" w:cs="FrankRuehl" w:hint="cs"/>
          <w:sz w:val="28"/>
          <w:szCs w:val="28"/>
          <w:rtl/>
        </w:rPr>
        <w:t>מש-ז.ש</w:t>
      </w:r>
      <w:r>
        <w:rPr>
          <w:rFonts w:ascii="FrankRuehl" w:hAnsi="FrankRuehl" w:cs="FrankRuehl"/>
          <w:sz w:val="28"/>
          <w:szCs w:val="28"/>
          <w:rtl/>
        </w:rPr>
        <w:t xml:space="preserve"> הלך לבית עולמו לפני </w:t>
      </w:r>
      <w:r w:rsidR="007D3ADD">
        <w:rPr>
          <w:rFonts w:ascii="FrankRuehl" w:hAnsi="FrankRuehl" w:cs="FrankRuehl" w:hint="cs"/>
          <w:sz w:val="28"/>
          <w:szCs w:val="28"/>
          <w:rtl/>
        </w:rPr>
        <w:t>ר.ש</w:t>
      </w:r>
      <w:r>
        <w:rPr>
          <w:rFonts w:ascii="FrankRuehl" w:hAnsi="FrankRuehl" w:cs="FrankRuehl"/>
          <w:sz w:val="28"/>
          <w:szCs w:val="28"/>
          <w:rtl/>
        </w:rPr>
        <w:t xml:space="preserve">, הרי שמלוא עיזבונו הועבר לידיה ועם מותה של </w:t>
      </w:r>
      <w:r w:rsidR="007D3ADD">
        <w:rPr>
          <w:rFonts w:ascii="FrankRuehl" w:hAnsi="FrankRuehl" w:cs="FrankRuehl" w:hint="cs"/>
          <w:sz w:val="28"/>
          <w:szCs w:val="28"/>
          <w:rtl/>
        </w:rPr>
        <w:t>ר.ש</w:t>
      </w:r>
      <w:r>
        <w:rPr>
          <w:rFonts w:ascii="FrankRuehl" w:hAnsi="FrankRuehl" w:cs="FrankRuehl"/>
          <w:sz w:val="28"/>
          <w:szCs w:val="28"/>
          <w:rtl/>
        </w:rPr>
        <w:t xml:space="preserve"> למלוא עיזבונה זכאי אחיה, שהינו יורשה על פי דין. כן קבע בית המשפט קמא, כי ממילא, מקום בו נפטר </w:t>
      </w:r>
      <w:r w:rsidR="007D3ADD">
        <w:rPr>
          <w:rFonts w:ascii="FrankRuehl" w:hAnsi="FrankRuehl" w:cs="FrankRuehl" w:hint="cs"/>
          <w:sz w:val="28"/>
          <w:szCs w:val="28"/>
          <w:rtl/>
        </w:rPr>
        <w:t>מ.ש</w:t>
      </w:r>
      <w:r>
        <w:rPr>
          <w:rFonts w:ascii="FrankRuehl" w:hAnsi="FrankRuehl" w:cs="FrankRuehl"/>
          <w:sz w:val="28"/>
          <w:szCs w:val="28"/>
          <w:rtl/>
        </w:rPr>
        <w:t xml:space="preserve"> לפני המנוחים, אין מעמד לילדיו, שכן בהתאם לסעיף 42(ג) לחוק הירושה תשכ"ה -1965 (להלן: </w:t>
      </w:r>
      <w:r>
        <w:rPr>
          <w:rFonts w:ascii="FrankRuehl" w:hAnsi="FrankRuehl" w:cs="FrankRuehl"/>
          <w:b/>
          <w:bCs/>
          <w:sz w:val="28"/>
          <w:szCs w:val="28"/>
          <w:rtl/>
        </w:rPr>
        <w:t>"חוק הירושה"</w:t>
      </w:r>
      <w:r>
        <w:rPr>
          <w:rFonts w:ascii="FrankRuehl" w:hAnsi="FrankRuehl" w:cs="FrankRuehl"/>
          <w:sz w:val="28"/>
          <w:szCs w:val="28"/>
          <w:rtl/>
        </w:rPr>
        <w:t xml:space="preserve">), במידה והיורש נפטר לפני שעת זכייתו, הוראות הצוואה לטובתו מתבטלות ועוד קבע בית המשפט קמא, כי אף בהתאם ללשון הצוואה את מלוא עיזבונה של </w:t>
      </w:r>
      <w:r w:rsidR="007D3ADD">
        <w:rPr>
          <w:rFonts w:ascii="FrankRuehl" w:hAnsi="FrankRuehl" w:cs="FrankRuehl" w:hint="cs"/>
          <w:sz w:val="28"/>
          <w:szCs w:val="28"/>
          <w:rtl/>
        </w:rPr>
        <w:t>ר.ש</w:t>
      </w:r>
      <w:r>
        <w:rPr>
          <w:rFonts w:ascii="FrankRuehl" w:hAnsi="FrankRuehl" w:cs="FrankRuehl"/>
          <w:sz w:val="28"/>
          <w:szCs w:val="28"/>
          <w:rtl/>
        </w:rPr>
        <w:t xml:space="preserve"> יורש אחיה.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מכאן הערעור שבפנינו. </w:t>
      </w:r>
    </w:p>
    <w:p w:rsidR="00960807" w:rsidRDefault="00960807" w:rsidP="00960807">
      <w:pPr>
        <w:pStyle w:val="ad"/>
        <w:rPr>
          <w:rFonts w:ascii="FrankRuehl" w:hAnsi="FrankRuehl" w:cs="FrankRuehl"/>
          <w:b/>
          <w:bCs/>
          <w:sz w:val="28"/>
          <w:szCs w:val="28"/>
          <w:rtl/>
        </w:rPr>
      </w:pPr>
    </w:p>
    <w:p w:rsidR="00960807" w:rsidRDefault="00960807" w:rsidP="00960807">
      <w:pPr>
        <w:spacing w:line="360" w:lineRule="auto"/>
        <w:jc w:val="both"/>
        <w:rPr>
          <w:rFonts w:ascii="Miriam" w:hAnsi="Miriam" w:cs="Miriam"/>
          <w:color w:val="000000"/>
          <w:rtl/>
        </w:rPr>
      </w:pPr>
      <w:r>
        <w:rPr>
          <w:rFonts w:ascii="Miriam" w:hAnsi="Miriam" w:cs="Miriam"/>
          <w:color w:val="000000"/>
          <w:rtl/>
        </w:rPr>
        <w:t>תמצית טענות הצדדים בפני בית המשפט קמא</w:t>
      </w:r>
    </w:p>
    <w:p w:rsidR="00960807" w:rsidRDefault="00960807" w:rsidP="00960807">
      <w:pPr>
        <w:spacing w:line="360" w:lineRule="auto"/>
        <w:jc w:val="both"/>
        <w:rPr>
          <w:rFonts w:ascii="FrankRuehl" w:hAnsi="FrankRuehl" w:cs="FrankRuehl"/>
          <w:color w:val="000000"/>
          <w:sz w:val="28"/>
          <w:szCs w:val="28"/>
          <w:rtl/>
        </w:rPr>
      </w:pPr>
    </w:p>
    <w:p w:rsidR="00960807" w:rsidRDefault="007D3ADD" w:rsidP="007D3ADD">
      <w:pPr>
        <w:pStyle w:val="ad"/>
        <w:numPr>
          <w:ilvl w:val="0"/>
          <w:numId w:val="1"/>
        </w:numPr>
        <w:spacing w:line="360" w:lineRule="auto"/>
        <w:ind w:left="360" w:right="0"/>
        <w:jc w:val="both"/>
        <w:rPr>
          <w:rFonts w:ascii="FrankRuehl" w:hAnsi="FrankRuehl" w:cs="FrankRuehl"/>
          <w:b/>
          <w:bCs/>
          <w:sz w:val="28"/>
          <w:szCs w:val="28"/>
          <w:u w:val="single"/>
          <w:rtl/>
        </w:rPr>
      </w:pPr>
      <w:r>
        <w:rPr>
          <w:rFonts w:ascii="FrankRuehl" w:hAnsi="FrankRuehl" w:cs="FrankRuehl" w:hint="cs"/>
          <w:sz w:val="28"/>
          <w:szCs w:val="28"/>
          <w:rtl/>
        </w:rPr>
        <w:t>ח.ש ו-מ.ש</w:t>
      </w:r>
      <w:r w:rsidR="00960807">
        <w:rPr>
          <w:rFonts w:ascii="FrankRuehl" w:hAnsi="FrankRuehl" w:cs="FrankRuehl"/>
          <w:sz w:val="28"/>
          <w:szCs w:val="28"/>
          <w:rtl/>
        </w:rPr>
        <w:t xml:space="preserve"> טענו, כי אביהם, </w:t>
      </w:r>
      <w:r>
        <w:rPr>
          <w:rFonts w:ascii="FrankRuehl" w:hAnsi="FrankRuehl" w:cs="FrankRuehl" w:hint="cs"/>
          <w:sz w:val="28"/>
          <w:szCs w:val="28"/>
          <w:rtl/>
        </w:rPr>
        <w:t>מ.ש ז"ל</w:t>
      </w:r>
      <w:r w:rsidR="00960807">
        <w:rPr>
          <w:rFonts w:ascii="FrankRuehl" w:hAnsi="FrankRuehl" w:cs="FrankRuehl"/>
          <w:sz w:val="28"/>
          <w:szCs w:val="28"/>
          <w:rtl/>
        </w:rPr>
        <w:t xml:space="preserve"> היה האח היחיד של </w:t>
      </w:r>
      <w:r>
        <w:rPr>
          <w:rFonts w:ascii="FrankRuehl" w:hAnsi="FrankRuehl" w:cs="FrankRuehl" w:hint="cs"/>
          <w:sz w:val="28"/>
          <w:szCs w:val="28"/>
          <w:rtl/>
        </w:rPr>
        <w:t>ז.ש</w:t>
      </w:r>
      <w:r w:rsidR="00960807">
        <w:rPr>
          <w:rFonts w:ascii="FrankRuehl" w:hAnsi="FrankRuehl" w:cs="FrankRuehl"/>
          <w:sz w:val="28"/>
          <w:szCs w:val="28"/>
          <w:rtl/>
        </w:rPr>
        <w:t xml:space="preserve">, כי הם היו קשורים וכי אף הם, ילדיו, היו קרובים למנוחים והיוו למעשה את משפחתם היחידה. מנגד, כך לטענתם, הקשר של המנוחים עם </w:t>
      </w:r>
      <w:r>
        <w:rPr>
          <w:rFonts w:ascii="FrankRuehl" w:hAnsi="FrankRuehl" w:cs="FrankRuehl" w:hint="cs"/>
          <w:sz w:val="28"/>
          <w:szCs w:val="28"/>
          <w:rtl/>
        </w:rPr>
        <w:t>ד.ש</w:t>
      </w:r>
      <w:r w:rsidR="00960807">
        <w:rPr>
          <w:rFonts w:ascii="FrankRuehl" w:hAnsi="FrankRuehl" w:cs="FrankRuehl"/>
          <w:sz w:val="28"/>
          <w:szCs w:val="28"/>
          <w:rtl/>
        </w:rPr>
        <w:t xml:space="preserve"> היה מרוחק, האחרון התגורר מרבית השנים בחו"ל, כמעט ולא נטל חלק </w:t>
      </w:r>
      <w:r w:rsidR="00960807">
        <w:rPr>
          <w:rFonts w:ascii="FrankRuehl" w:hAnsi="FrankRuehl" w:cs="FrankRuehl"/>
          <w:sz w:val="28"/>
          <w:szCs w:val="28"/>
          <w:rtl/>
        </w:rPr>
        <w:lastRenderedPageBreak/>
        <w:t xml:space="preserve">בטיפול במנוחים ולפיכך רצונם לא היה כי מלוא אין ספק כי למנוחים לא היה כל רצון </w:t>
      </w:r>
      <w:r>
        <w:rPr>
          <w:rFonts w:ascii="FrankRuehl" w:hAnsi="FrankRuehl" w:cs="FrankRuehl"/>
          <w:sz w:val="28"/>
          <w:szCs w:val="28"/>
          <w:rtl/>
        </w:rPr>
        <w:t>שלאחר פטירתם כל רכושם יעבור לד</w:t>
      </w:r>
      <w:r>
        <w:rPr>
          <w:rFonts w:ascii="FrankRuehl" w:hAnsi="FrankRuehl" w:cs="FrankRuehl" w:hint="cs"/>
          <w:sz w:val="28"/>
          <w:szCs w:val="28"/>
          <w:rtl/>
        </w:rPr>
        <w:t>.ש</w:t>
      </w:r>
      <w:r w:rsidR="00960807">
        <w:rPr>
          <w:rFonts w:ascii="FrankRuehl" w:hAnsi="FrankRuehl" w:cs="FrankRuehl"/>
          <w:sz w:val="28"/>
          <w:szCs w:val="28"/>
          <w:rtl/>
        </w:rPr>
        <w:t xml:space="preserve"> בלבד. </w:t>
      </w:r>
    </w:p>
    <w:p w:rsidR="00960807" w:rsidRDefault="00960807" w:rsidP="00960807">
      <w:pPr>
        <w:pStyle w:val="ad"/>
        <w:spacing w:line="360" w:lineRule="auto"/>
        <w:jc w:val="both"/>
        <w:rPr>
          <w:rFonts w:ascii="FrankRuehl" w:hAnsi="FrankRuehl" w:cs="FrankRuehl"/>
          <w:b/>
          <w:bCs/>
          <w:sz w:val="28"/>
          <w:szCs w:val="28"/>
          <w:u w:val="single"/>
        </w:rPr>
      </w:pPr>
    </w:p>
    <w:p w:rsidR="00960807" w:rsidRDefault="00960807" w:rsidP="00960807">
      <w:pPr>
        <w:pStyle w:val="ad"/>
        <w:numPr>
          <w:ilvl w:val="0"/>
          <w:numId w:val="1"/>
        </w:numPr>
        <w:spacing w:line="360" w:lineRule="auto"/>
        <w:ind w:left="360" w:right="0"/>
        <w:jc w:val="both"/>
        <w:rPr>
          <w:rFonts w:ascii="FrankRuehl" w:hAnsi="FrankRuehl" w:cs="FrankRuehl"/>
          <w:b/>
          <w:bCs/>
          <w:sz w:val="28"/>
          <w:szCs w:val="28"/>
          <w:u w:val="single"/>
        </w:rPr>
      </w:pPr>
      <w:r>
        <w:rPr>
          <w:rFonts w:ascii="FrankRuehl" w:hAnsi="FrankRuehl" w:cs="FrankRuehl"/>
          <w:sz w:val="28"/>
          <w:szCs w:val="28"/>
          <w:rtl/>
        </w:rPr>
        <w:t xml:space="preserve">כן טענו המערערים, כי אין לקבל את הטענה לפיה, ביקשו המנוחים להתייחס למצב הנדיר בו נפטרים שני המנוחים בעת ובעונה אחת, אלא יש מקום לפרש את סעיף 5 לצוואה כהוראת חלוקת העיזבון לאחר מותו של האחרון מבין בני הזוג. קביעה אחרת, הינה מרחיקת לכת, בלתי סבירה וסותרת את מהותה של צוואה הדדית ועקרון ההסתמכות. </w:t>
      </w:r>
    </w:p>
    <w:p w:rsidR="00960807" w:rsidRDefault="00960807" w:rsidP="00960807">
      <w:pPr>
        <w:pStyle w:val="ad"/>
        <w:spacing w:line="360" w:lineRule="auto"/>
        <w:jc w:val="both"/>
        <w:rPr>
          <w:rFonts w:ascii="FrankRuehl" w:hAnsi="FrankRuehl" w:cs="FrankRuehl"/>
          <w:b/>
          <w:bCs/>
          <w:sz w:val="28"/>
          <w:szCs w:val="28"/>
          <w:u w:val="single"/>
        </w:rPr>
      </w:pPr>
    </w:p>
    <w:p w:rsidR="00960807" w:rsidRDefault="00960807" w:rsidP="00960807">
      <w:pPr>
        <w:pStyle w:val="ad"/>
        <w:numPr>
          <w:ilvl w:val="0"/>
          <w:numId w:val="1"/>
        </w:numPr>
        <w:spacing w:line="360" w:lineRule="auto"/>
        <w:ind w:left="360" w:right="0"/>
        <w:jc w:val="both"/>
        <w:rPr>
          <w:rFonts w:ascii="FrankRuehl" w:hAnsi="FrankRuehl" w:cs="FrankRuehl"/>
          <w:b/>
          <w:bCs/>
          <w:sz w:val="28"/>
          <w:szCs w:val="28"/>
          <w:u w:val="single"/>
        </w:rPr>
      </w:pPr>
      <w:r>
        <w:rPr>
          <w:rFonts w:ascii="FrankRuehl" w:hAnsi="FrankRuehl" w:cs="FrankRuehl"/>
          <w:sz w:val="28"/>
          <w:szCs w:val="28"/>
          <w:rtl/>
        </w:rPr>
        <w:t xml:space="preserve">עוד נטען, כי מאחר שמדובר בצוואות הדדיות שנערכו במסמך אחד, הרי שבמקום המילה </w:t>
      </w:r>
      <w:r>
        <w:rPr>
          <w:rFonts w:ascii="FrankRuehl" w:hAnsi="FrankRuehl" w:cs="FrankRuehl"/>
          <w:b/>
          <w:bCs/>
          <w:sz w:val="28"/>
          <w:szCs w:val="28"/>
          <w:rtl/>
        </w:rPr>
        <w:t>"יחדיו"</w:t>
      </w:r>
      <w:r>
        <w:rPr>
          <w:rFonts w:ascii="FrankRuehl" w:hAnsi="FrankRuehl" w:cs="FrankRuehl"/>
          <w:sz w:val="28"/>
          <w:szCs w:val="28"/>
          <w:rtl/>
        </w:rPr>
        <w:t xml:space="preserve"> יש לכתוב את המילה </w:t>
      </w:r>
      <w:r>
        <w:rPr>
          <w:rFonts w:ascii="FrankRuehl" w:hAnsi="FrankRuehl" w:cs="FrankRuehl"/>
          <w:b/>
          <w:bCs/>
          <w:sz w:val="28"/>
          <w:szCs w:val="28"/>
          <w:rtl/>
        </w:rPr>
        <w:t>"שנינו"</w:t>
      </w:r>
      <w:r>
        <w:rPr>
          <w:rFonts w:ascii="FrankRuehl" w:hAnsi="FrankRuehl" w:cs="FrankRuehl"/>
          <w:sz w:val="28"/>
          <w:szCs w:val="28"/>
          <w:rtl/>
        </w:rPr>
        <w:t xml:space="preserve"> וכי אין היגיון בטענה, כי בני הזוג טרחו לפנות לעורך דין רק בכדי להסדיר את המקרה הנדיר שבו שני בני הזוג מתים יחדיו. </w:t>
      </w:r>
    </w:p>
    <w:p w:rsidR="00960807" w:rsidRDefault="00960807" w:rsidP="00960807">
      <w:pPr>
        <w:pStyle w:val="ad"/>
        <w:spacing w:line="360" w:lineRule="auto"/>
        <w:jc w:val="both"/>
        <w:rPr>
          <w:rFonts w:ascii="FrankRuehl" w:hAnsi="FrankRuehl" w:cs="FrankRuehl"/>
          <w:b/>
          <w:bCs/>
          <w:sz w:val="28"/>
          <w:szCs w:val="28"/>
          <w:u w:val="single"/>
        </w:rPr>
      </w:pPr>
    </w:p>
    <w:p w:rsidR="00960807" w:rsidRDefault="00960807" w:rsidP="007D3ADD">
      <w:pPr>
        <w:pStyle w:val="ad"/>
        <w:numPr>
          <w:ilvl w:val="0"/>
          <w:numId w:val="1"/>
        </w:numPr>
        <w:spacing w:line="360" w:lineRule="auto"/>
        <w:ind w:left="360" w:right="0"/>
        <w:jc w:val="both"/>
        <w:rPr>
          <w:rFonts w:ascii="FrankRuehl" w:hAnsi="FrankRuehl" w:cs="FrankRuehl"/>
          <w:b/>
          <w:bCs/>
          <w:sz w:val="28"/>
          <w:szCs w:val="28"/>
          <w:u w:val="single"/>
        </w:rPr>
      </w:pPr>
      <w:r>
        <w:rPr>
          <w:rFonts w:ascii="FrankRuehl" w:hAnsi="FrankRuehl" w:cs="FrankRuehl"/>
          <w:sz w:val="28"/>
          <w:szCs w:val="28"/>
          <w:rtl/>
        </w:rPr>
        <w:t xml:space="preserve">עוד לטענת </w:t>
      </w:r>
      <w:r w:rsidR="007D3ADD">
        <w:rPr>
          <w:rFonts w:ascii="FrankRuehl" w:hAnsi="FrankRuehl" w:cs="FrankRuehl" w:hint="cs"/>
          <w:sz w:val="28"/>
          <w:szCs w:val="28"/>
          <w:rtl/>
        </w:rPr>
        <w:t>ח.ש ו-מ.ש</w:t>
      </w:r>
      <w:r>
        <w:rPr>
          <w:rFonts w:ascii="FrankRuehl" w:hAnsi="FrankRuehl" w:cs="FrankRuehl"/>
          <w:sz w:val="28"/>
          <w:szCs w:val="28"/>
          <w:rtl/>
        </w:rPr>
        <w:t xml:space="preserve"> יש ליתן משקל לשני תצהירים עליהם חתם עו"ד מרגלית, אשר ערך את הצוואה ואף היה שכן וחבר של המנוחים. התצהירים אלו פירט את רצונם של המנוחים וציין כי כוונתו וכוונתם במונח "יחדיו" היתה לאחר ששני בני הזוג לא יהיו בין החיים, ולא למצב הנדיר בו שניהם ילכו לעולמם בעת ובעונה אחת. </w:t>
      </w:r>
    </w:p>
    <w:p w:rsidR="00960807" w:rsidRDefault="00960807" w:rsidP="00960807">
      <w:pPr>
        <w:pStyle w:val="ad"/>
        <w:spacing w:line="360" w:lineRule="auto"/>
        <w:rPr>
          <w:rFonts w:ascii="FrankRuehl" w:hAnsi="FrankRuehl" w:cs="FrankRuehl"/>
          <w:b/>
          <w:bCs/>
          <w:sz w:val="28"/>
          <w:szCs w:val="28"/>
          <w:u w:val="single"/>
        </w:rPr>
      </w:pPr>
    </w:p>
    <w:p w:rsidR="00960807" w:rsidRDefault="00960807" w:rsidP="007D3ADD">
      <w:pPr>
        <w:pStyle w:val="ad"/>
        <w:numPr>
          <w:ilvl w:val="0"/>
          <w:numId w:val="1"/>
        </w:numPr>
        <w:spacing w:line="360" w:lineRule="auto"/>
        <w:ind w:left="360" w:right="0"/>
        <w:jc w:val="both"/>
        <w:rPr>
          <w:rFonts w:ascii="FrankRuehl" w:hAnsi="FrankRuehl" w:cs="FrankRuehl"/>
          <w:b/>
          <w:bCs/>
          <w:sz w:val="28"/>
          <w:szCs w:val="28"/>
          <w:u w:val="single"/>
        </w:rPr>
      </w:pPr>
      <w:r>
        <w:rPr>
          <w:rFonts w:ascii="FrankRuehl" w:hAnsi="FrankRuehl" w:cs="FrankRuehl"/>
          <w:sz w:val="28"/>
          <w:szCs w:val="28"/>
          <w:rtl/>
        </w:rPr>
        <w:t xml:space="preserve">לעניין מעמדם, טענו </w:t>
      </w:r>
      <w:r w:rsidR="007D3ADD">
        <w:rPr>
          <w:rFonts w:ascii="FrankRuehl" w:hAnsi="FrankRuehl" w:cs="FrankRuehl" w:hint="cs"/>
          <w:sz w:val="28"/>
          <w:szCs w:val="28"/>
          <w:rtl/>
        </w:rPr>
        <w:t>ח.ש ו-מ.ש</w:t>
      </w:r>
      <w:r>
        <w:rPr>
          <w:rFonts w:ascii="FrankRuehl" w:hAnsi="FrankRuehl" w:cs="FrankRuehl"/>
          <w:sz w:val="28"/>
          <w:szCs w:val="28"/>
          <w:rtl/>
        </w:rPr>
        <w:t>, כי יש להחיל את סעיף 41 לחוק הירושה, העוסק ב"יורש במקום יורש". לפי סעיף 49 לחוק הירושה, ברגע שזוכה לפי צוואה הולך לעולמו לפני המצווה, אזי צאצאיו של היורש</w:t>
      </w:r>
      <w:r w:rsidR="007D3ADD">
        <w:rPr>
          <w:rFonts w:ascii="FrankRuehl" w:hAnsi="FrankRuehl" w:cs="FrankRuehl"/>
          <w:sz w:val="28"/>
          <w:szCs w:val="28"/>
          <w:rtl/>
        </w:rPr>
        <w:t xml:space="preserve"> נכנסים לנעליו ומאחר ש</w:t>
      </w:r>
      <w:r w:rsidR="007D3ADD">
        <w:rPr>
          <w:rFonts w:ascii="FrankRuehl" w:hAnsi="FrankRuehl" w:cs="FrankRuehl" w:hint="cs"/>
          <w:sz w:val="28"/>
          <w:szCs w:val="28"/>
          <w:rtl/>
        </w:rPr>
        <w:t>-מ.ש</w:t>
      </w:r>
      <w:r w:rsidR="007D3ADD">
        <w:rPr>
          <w:rFonts w:ascii="FrankRuehl" w:hAnsi="FrankRuehl" w:cs="FrankRuehl"/>
          <w:sz w:val="28"/>
          <w:szCs w:val="28"/>
          <w:rtl/>
        </w:rPr>
        <w:t xml:space="preserve"> הלך לעולמו לפני ז</w:t>
      </w:r>
      <w:r w:rsidR="007D3ADD">
        <w:rPr>
          <w:rFonts w:ascii="FrankRuehl" w:hAnsi="FrankRuehl" w:cs="FrankRuehl" w:hint="cs"/>
          <w:sz w:val="28"/>
          <w:szCs w:val="28"/>
          <w:rtl/>
        </w:rPr>
        <w:t>.ש</w:t>
      </w:r>
      <w:r>
        <w:rPr>
          <w:rFonts w:ascii="FrankRuehl" w:hAnsi="FrankRuehl" w:cs="FrankRuehl"/>
          <w:sz w:val="28"/>
          <w:szCs w:val="28"/>
          <w:rtl/>
        </w:rPr>
        <w:t xml:space="preserve"> ו</w:t>
      </w:r>
      <w:r w:rsidR="007D3ADD">
        <w:rPr>
          <w:rFonts w:ascii="FrankRuehl" w:hAnsi="FrankRuehl" w:cs="FrankRuehl" w:hint="cs"/>
          <w:sz w:val="28"/>
          <w:szCs w:val="28"/>
          <w:rtl/>
        </w:rPr>
        <w:t>-ר.ש</w:t>
      </w:r>
      <w:r w:rsidR="007D3ADD">
        <w:rPr>
          <w:rFonts w:ascii="FrankRuehl" w:hAnsi="FrankRuehl" w:cs="FrankRuehl"/>
          <w:sz w:val="28"/>
          <w:szCs w:val="28"/>
          <w:rtl/>
        </w:rPr>
        <w:t xml:space="preserve"> – ילדיו ח</w:t>
      </w:r>
      <w:r w:rsidR="007D3ADD">
        <w:rPr>
          <w:rFonts w:ascii="FrankRuehl" w:hAnsi="FrankRuehl" w:cs="FrankRuehl" w:hint="cs"/>
          <w:sz w:val="28"/>
          <w:szCs w:val="28"/>
          <w:rtl/>
        </w:rPr>
        <w:t>.ש</w:t>
      </w:r>
      <w:r>
        <w:rPr>
          <w:rFonts w:ascii="FrankRuehl" w:hAnsi="FrankRuehl" w:cs="FrankRuehl"/>
          <w:sz w:val="28"/>
          <w:szCs w:val="28"/>
          <w:rtl/>
        </w:rPr>
        <w:t xml:space="preserve"> ו</w:t>
      </w:r>
      <w:r w:rsidR="007D3ADD">
        <w:rPr>
          <w:rFonts w:ascii="FrankRuehl" w:hAnsi="FrankRuehl" w:cs="FrankRuehl" w:hint="cs"/>
          <w:sz w:val="28"/>
          <w:szCs w:val="28"/>
          <w:rtl/>
        </w:rPr>
        <w:t>-</w:t>
      </w:r>
      <w:r>
        <w:rPr>
          <w:rFonts w:ascii="FrankRuehl" w:hAnsi="FrankRuehl" w:cs="FrankRuehl"/>
          <w:sz w:val="28"/>
          <w:szCs w:val="28"/>
          <w:rtl/>
        </w:rPr>
        <w:t>מ</w:t>
      </w:r>
      <w:r w:rsidR="007D3ADD">
        <w:rPr>
          <w:rFonts w:ascii="FrankRuehl" w:hAnsi="FrankRuehl" w:cs="FrankRuehl" w:hint="cs"/>
          <w:sz w:val="28"/>
          <w:szCs w:val="28"/>
          <w:rtl/>
        </w:rPr>
        <w:t>.</w:t>
      </w:r>
      <w:r w:rsidR="007D3ADD">
        <w:rPr>
          <w:rFonts w:ascii="FrankRuehl" w:hAnsi="FrankRuehl" w:cs="FrankRuehl"/>
          <w:sz w:val="28"/>
          <w:szCs w:val="28"/>
          <w:rtl/>
        </w:rPr>
        <w:t>ש</w:t>
      </w:r>
      <w:r>
        <w:rPr>
          <w:rFonts w:ascii="FrankRuehl" w:hAnsi="FrankRuehl" w:cs="FrankRuehl"/>
          <w:sz w:val="28"/>
          <w:szCs w:val="28"/>
          <w:rtl/>
        </w:rPr>
        <w:t xml:space="preserve"> נכנסים לנעליו. סעיף 42 לחוק הירושה העוסק ב"יורש אחר יורש" כלל אינו רלוונטי לעניין כאן. </w:t>
      </w:r>
    </w:p>
    <w:p w:rsidR="00960807" w:rsidRDefault="00960807" w:rsidP="00960807">
      <w:pPr>
        <w:pStyle w:val="ad"/>
        <w:spacing w:line="360" w:lineRule="auto"/>
        <w:jc w:val="both"/>
        <w:rPr>
          <w:rFonts w:ascii="FrankRuehl" w:hAnsi="FrankRuehl" w:cs="FrankRuehl"/>
          <w:b/>
          <w:bCs/>
          <w:sz w:val="28"/>
          <w:szCs w:val="28"/>
          <w:u w:val="single"/>
          <w:rtl/>
        </w:rPr>
      </w:pPr>
    </w:p>
    <w:p w:rsidR="00960807" w:rsidRDefault="007D3ADD"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לטענת ד</w:t>
      </w:r>
      <w:r>
        <w:rPr>
          <w:rFonts w:ascii="FrankRuehl" w:hAnsi="FrankRuehl" w:cs="FrankRuehl" w:hint="cs"/>
          <w:sz w:val="28"/>
          <w:szCs w:val="28"/>
          <w:rtl/>
        </w:rPr>
        <w:t>.ש</w:t>
      </w:r>
      <w:r w:rsidR="00960807">
        <w:rPr>
          <w:rFonts w:ascii="FrankRuehl" w:hAnsi="FrankRuehl" w:cs="FrankRuehl"/>
          <w:sz w:val="28"/>
          <w:szCs w:val="28"/>
          <w:rtl/>
        </w:rPr>
        <w:t>, לשון סעיף 5 לצוו</w:t>
      </w:r>
      <w:r>
        <w:rPr>
          <w:rFonts w:ascii="FrankRuehl" w:hAnsi="FrankRuehl" w:cs="FrankRuehl"/>
          <w:sz w:val="28"/>
          <w:szCs w:val="28"/>
          <w:rtl/>
        </w:rPr>
        <w:t>אה ברורה, והוא עוסק במקרה בו ז</w:t>
      </w:r>
      <w:r>
        <w:rPr>
          <w:rFonts w:ascii="FrankRuehl" w:hAnsi="FrankRuehl" w:cs="FrankRuehl" w:hint="cs"/>
          <w:sz w:val="28"/>
          <w:szCs w:val="28"/>
          <w:rtl/>
        </w:rPr>
        <w:t>'</w:t>
      </w:r>
      <w:r w:rsidR="00960807">
        <w:rPr>
          <w:rFonts w:ascii="FrankRuehl" w:hAnsi="FrankRuehl" w:cs="FrankRuehl"/>
          <w:sz w:val="28"/>
          <w:szCs w:val="28"/>
          <w:rtl/>
        </w:rPr>
        <w:t xml:space="preserve"> ו</w:t>
      </w:r>
      <w:r>
        <w:rPr>
          <w:rFonts w:ascii="FrankRuehl" w:hAnsi="FrankRuehl" w:cs="FrankRuehl" w:hint="cs"/>
          <w:sz w:val="28"/>
          <w:szCs w:val="28"/>
          <w:rtl/>
        </w:rPr>
        <w:t>-</w:t>
      </w:r>
      <w:r>
        <w:rPr>
          <w:rFonts w:ascii="FrankRuehl" w:hAnsi="FrankRuehl" w:cs="FrankRuehl"/>
          <w:sz w:val="28"/>
          <w:szCs w:val="28"/>
          <w:rtl/>
        </w:rPr>
        <w:t>ר</w:t>
      </w:r>
      <w:r>
        <w:rPr>
          <w:rFonts w:ascii="FrankRuehl" w:hAnsi="FrankRuehl" w:cs="FrankRuehl" w:hint="cs"/>
          <w:sz w:val="28"/>
          <w:szCs w:val="28"/>
          <w:rtl/>
        </w:rPr>
        <w:t>'</w:t>
      </w:r>
      <w:r w:rsidR="00960807">
        <w:rPr>
          <w:rFonts w:ascii="FrankRuehl" w:hAnsi="FrankRuehl" w:cs="FrankRuehl"/>
          <w:sz w:val="28"/>
          <w:szCs w:val="28"/>
          <w:rtl/>
        </w:rPr>
        <w:t xml:space="preserve"> הולכים לבית עולמם יחדיו, כלומר בא</w:t>
      </w:r>
      <w:r>
        <w:rPr>
          <w:rFonts w:ascii="FrankRuehl" w:hAnsi="FrankRuehl" w:cs="FrankRuehl"/>
          <w:sz w:val="28"/>
          <w:szCs w:val="28"/>
          <w:rtl/>
        </w:rPr>
        <w:t>ותה העת. ואילו בעניין כאן, ז</w:t>
      </w:r>
      <w:r>
        <w:rPr>
          <w:rFonts w:ascii="FrankRuehl" w:hAnsi="FrankRuehl" w:cs="FrankRuehl" w:hint="cs"/>
          <w:sz w:val="28"/>
          <w:szCs w:val="28"/>
          <w:rtl/>
        </w:rPr>
        <w:t>.ש</w:t>
      </w:r>
      <w:r w:rsidR="00960807">
        <w:rPr>
          <w:rFonts w:ascii="FrankRuehl" w:hAnsi="FrankRuehl" w:cs="FrankRuehl"/>
          <w:sz w:val="28"/>
          <w:szCs w:val="28"/>
          <w:rtl/>
        </w:rPr>
        <w:t xml:space="preserve"> נפטר בשנת 2016, בשנת 2017 ניתן צו קיום צוואה בעניין עזבונו ובהתאם לסעיף 2 לצוואה מלוא רכושו (למעט המצוין בסעיף 3 לצוואה) </w:t>
      </w:r>
      <w:r>
        <w:rPr>
          <w:rFonts w:ascii="FrankRuehl" w:hAnsi="FrankRuehl" w:cs="FrankRuehl"/>
          <w:sz w:val="28"/>
          <w:szCs w:val="28"/>
          <w:rtl/>
        </w:rPr>
        <w:t>הועבר לר</w:t>
      </w:r>
      <w:r>
        <w:rPr>
          <w:rFonts w:ascii="FrankRuehl" w:hAnsi="FrankRuehl" w:cs="FrankRuehl" w:hint="cs"/>
          <w:sz w:val="28"/>
          <w:szCs w:val="28"/>
          <w:rtl/>
        </w:rPr>
        <w:t>.ש</w:t>
      </w:r>
      <w:r>
        <w:rPr>
          <w:rFonts w:ascii="FrankRuehl" w:hAnsi="FrankRuehl" w:cs="FrankRuehl"/>
          <w:sz w:val="28"/>
          <w:szCs w:val="28"/>
          <w:rtl/>
        </w:rPr>
        <w:t xml:space="preserve"> רעייתו. משכך, מ</w:t>
      </w:r>
      <w:r>
        <w:rPr>
          <w:rFonts w:ascii="FrankRuehl" w:hAnsi="FrankRuehl" w:cs="FrankRuehl" w:hint="cs"/>
          <w:sz w:val="28"/>
          <w:szCs w:val="28"/>
          <w:rtl/>
        </w:rPr>
        <w:t>.ש ז"ל</w:t>
      </w:r>
      <w:r w:rsidR="00960807">
        <w:rPr>
          <w:rFonts w:ascii="FrankRuehl" w:hAnsi="FrankRuehl" w:cs="FrankRuehl"/>
          <w:sz w:val="28"/>
          <w:szCs w:val="28"/>
          <w:rtl/>
        </w:rPr>
        <w:t xml:space="preserve"> אינו</w:t>
      </w:r>
      <w:r>
        <w:rPr>
          <w:rFonts w:ascii="FrankRuehl" w:hAnsi="FrankRuehl" w:cs="FrankRuehl"/>
          <w:sz w:val="28"/>
          <w:szCs w:val="28"/>
          <w:rtl/>
        </w:rPr>
        <w:t xml:space="preserve"> זוכה לפי הצוואה, וממילא אף ח</w:t>
      </w:r>
      <w:r>
        <w:rPr>
          <w:rFonts w:ascii="FrankRuehl" w:hAnsi="FrankRuehl" w:cs="FrankRuehl" w:hint="cs"/>
          <w:sz w:val="28"/>
          <w:szCs w:val="28"/>
          <w:rtl/>
        </w:rPr>
        <w:t>.ש</w:t>
      </w:r>
      <w:r>
        <w:rPr>
          <w:rFonts w:ascii="FrankRuehl" w:hAnsi="FrankRuehl" w:cs="FrankRuehl"/>
          <w:sz w:val="28"/>
          <w:szCs w:val="28"/>
          <w:rtl/>
        </w:rPr>
        <w:t xml:space="preserve"> ומ</w:t>
      </w:r>
      <w:r>
        <w:rPr>
          <w:rFonts w:ascii="FrankRuehl" w:hAnsi="FrankRuehl" w:cs="FrankRuehl" w:hint="cs"/>
          <w:sz w:val="28"/>
          <w:szCs w:val="28"/>
          <w:rtl/>
        </w:rPr>
        <w:t>.ש</w:t>
      </w:r>
      <w:r w:rsidR="00960807">
        <w:rPr>
          <w:rFonts w:ascii="FrankRuehl" w:hAnsi="FrankRuehl" w:cs="FrankRuehl"/>
          <w:sz w:val="28"/>
          <w:szCs w:val="28"/>
          <w:rtl/>
        </w:rPr>
        <w:t xml:space="preserve"> אינם זוכים.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לעניין פרשנות סעיף 5 לצוואה הנוגע למות ש</w:t>
      </w:r>
      <w:r w:rsidR="007D3ADD">
        <w:rPr>
          <w:rFonts w:ascii="FrankRuehl" w:hAnsi="FrankRuehl" w:cs="FrankRuehl"/>
          <w:sz w:val="28"/>
          <w:szCs w:val="28"/>
          <w:rtl/>
        </w:rPr>
        <w:t>ני המצווים יחדיו ונוכח טענת ח</w:t>
      </w:r>
      <w:r w:rsidR="007D3ADD">
        <w:rPr>
          <w:rFonts w:ascii="FrankRuehl" w:hAnsi="FrankRuehl" w:cs="FrankRuehl" w:hint="cs"/>
          <w:sz w:val="28"/>
          <w:szCs w:val="28"/>
          <w:rtl/>
        </w:rPr>
        <w:t>.ש</w:t>
      </w:r>
      <w:r>
        <w:rPr>
          <w:rFonts w:ascii="FrankRuehl" w:hAnsi="FrankRuehl" w:cs="FrankRuehl"/>
          <w:sz w:val="28"/>
          <w:szCs w:val="28"/>
          <w:rtl/>
        </w:rPr>
        <w:t xml:space="preserve"> ו</w:t>
      </w:r>
      <w:r w:rsidR="007D3ADD">
        <w:rPr>
          <w:rFonts w:ascii="FrankRuehl" w:hAnsi="FrankRuehl" w:cs="FrankRuehl" w:hint="cs"/>
          <w:sz w:val="28"/>
          <w:szCs w:val="28"/>
          <w:rtl/>
        </w:rPr>
        <w:t>-</w:t>
      </w:r>
      <w:r>
        <w:rPr>
          <w:rFonts w:ascii="FrankRuehl" w:hAnsi="FrankRuehl" w:cs="FrankRuehl"/>
          <w:sz w:val="28"/>
          <w:szCs w:val="28"/>
          <w:rtl/>
        </w:rPr>
        <w:t>מ</w:t>
      </w:r>
      <w:r w:rsidR="007D3ADD">
        <w:rPr>
          <w:rFonts w:ascii="FrankRuehl" w:hAnsi="FrankRuehl" w:cs="FrankRuehl" w:hint="cs"/>
          <w:sz w:val="28"/>
          <w:szCs w:val="28"/>
          <w:rtl/>
        </w:rPr>
        <w:t>.</w:t>
      </w:r>
      <w:r w:rsidR="007D3ADD">
        <w:rPr>
          <w:rFonts w:ascii="FrankRuehl" w:hAnsi="FrankRuehl" w:cs="FrankRuehl"/>
          <w:sz w:val="28"/>
          <w:szCs w:val="28"/>
          <w:rtl/>
        </w:rPr>
        <w:t>ש</w:t>
      </w:r>
      <w:r>
        <w:rPr>
          <w:rFonts w:ascii="FrankRuehl" w:hAnsi="FrankRuehl" w:cs="FrankRuehl"/>
          <w:sz w:val="28"/>
          <w:szCs w:val="28"/>
          <w:rtl/>
        </w:rPr>
        <w:t xml:space="preserve"> כי מדובר במקרה נדיר שאינו סביר כי בגינו ייכתב סעיף מפורש, נטען, כי במהלך שנת 1989, השנה בה נערכה הצוואה, התרחשו אינספור פיגועים ורציחות, ולא היה זה יוצא דופן ששני בני הזוג ילכו לבית עולמם בצוותא חדא, משכך אף מצוינות בצוואה צמד המילים "חס וחלילה" המתייחס למקרה בו ילכו לבית עולמם "יחדיו". </w:t>
      </w:r>
    </w:p>
    <w:p w:rsidR="00960807" w:rsidRDefault="00960807" w:rsidP="00960807">
      <w:pPr>
        <w:pStyle w:val="ad"/>
        <w:rPr>
          <w:rFonts w:ascii="FrankRuehl" w:hAnsi="FrankRuehl" w:cs="FrankRuehl"/>
          <w:sz w:val="28"/>
          <w:szCs w:val="28"/>
        </w:rPr>
      </w:pPr>
    </w:p>
    <w:p w:rsidR="00960807" w:rsidRDefault="007D3ADD"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עוד טוען ד</w:t>
      </w:r>
      <w:r>
        <w:rPr>
          <w:rFonts w:ascii="FrankRuehl" w:hAnsi="FrankRuehl" w:cs="FrankRuehl" w:hint="cs"/>
          <w:sz w:val="28"/>
          <w:szCs w:val="28"/>
          <w:rtl/>
        </w:rPr>
        <w:t>'</w:t>
      </w:r>
      <w:r w:rsidR="00960807">
        <w:rPr>
          <w:rFonts w:ascii="FrankRuehl" w:hAnsi="FrankRuehl" w:cs="FrankRuehl"/>
          <w:sz w:val="28"/>
          <w:szCs w:val="28"/>
          <w:rtl/>
        </w:rPr>
        <w:t xml:space="preserve">, כי אפילו ניתן היה לפרש את סעיף 5 לצוואה, כך שהוא עוסק במקרה בו שני בני הזוג ילכו לעולמם האחד אחרי השני, מדובר במקרה של "יורש אחר יורש" לפי סעיף </w:t>
      </w:r>
      <w:r>
        <w:rPr>
          <w:rFonts w:ascii="FrankRuehl" w:hAnsi="FrankRuehl" w:cs="FrankRuehl"/>
          <w:sz w:val="28"/>
          <w:szCs w:val="28"/>
          <w:rtl/>
        </w:rPr>
        <w:t>42 לחוק הירושה. מאחר ומ</w:t>
      </w:r>
      <w:r>
        <w:rPr>
          <w:rFonts w:ascii="FrankRuehl" w:hAnsi="FrankRuehl" w:cs="FrankRuehl" w:hint="cs"/>
          <w:sz w:val="28"/>
          <w:szCs w:val="28"/>
          <w:rtl/>
        </w:rPr>
        <w:t>.ש</w:t>
      </w:r>
      <w:r>
        <w:rPr>
          <w:rFonts w:ascii="FrankRuehl" w:hAnsi="FrankRuehl" w:cs="FrankRuehl"/>
          <w:sz w:val="28"/>
          <w:szCs w:val="28"/>
          <w:rtl/>
        </w:rPr>
        <w:t xml:space="preserve"> הלך לעולמו לפני ז</w:t>
      </w:r>
      <w:r>
        <w:rPr>
          <w:rFonts w:ascii="FrankRuehl" w:hAnsi="FrankRuehl" w:cs="FrankRuehl" w:hint="cs"/>
          <w:sz w:val="28"/>
          <w:szCs w:val="28"/>
          <w:rtl/>
        </w:rPr>
        <w:t>'</w:t>
      </w:r>
      <w:r>
        <w:rPr>
          <w:rFonts w:ascii="FrankRuehl" w:hAnsi="FrankRuehl" w:cs="FrankRuehl"/>
          <w:sz w:val="28"/>
          <w:szCs w:val="28"/>
          <w:rtl/>
        </w:rPr>
        <w:t xml:space="preserve"> ור</w:t>
      </w:r>
      <w:r>
        <w:rPr>
          <w:rFonts w:ascii="FrankRuehl" w:hAnsi="FrankRuehl" w:cs="FrankRuehl" w:hint="cs"/>
          <w:sz w:val="28"/>
          <w:szCs w:val="28"/>
          <w:rtl/>
        </w:rPr>
        <w:t>'</w:t>
      </w:r>
      <w:r w:rsidR="00960807">
        <w:rPr>
          <w:rFonts w:ascii="FrankRuehl" w:hAnsi="FrankRuehl" w:cs="FrankRuehl"/>
          <w:sz w:val="28"/>
          <w:szCs w:val="28"/>
          <w:rtl/>
        </w:rPr>
        <w:t xml:space="preserve">, הרי שלפי סעיף 42(ג) לחוק הירושה הוראת </w:t>
      </w:r>
      <w:r>
        <w:rPr>
          <w:rFonts w:ascii="FrankRuehl" w:hAnsi="FrankRuehl" w:cs="FrankRuehl"/>
          <w:sz w:val="28"/>
          <w:szCs w:val="28"/>
          <w:rtl/>
        </w:rPr>
        <w:t>הצוואה לטובתו של מ</w:t>
      </w:r>
      <w:r>
        <w:rPr>
          <w:rFonts w:ascii="FrankRuehl" w:hAnsi="FrankRuehl" w:cs="FrankRuehl" w:hint="cs"/>
          <w:sz w:val="28"/>
          <w:szCs w:val="28"/>
          <w:rtl/>
        </w:rPr>
        <w:t>'</w:t>
      </w:r>
      <w:r w:rsidR="00960807">
        <w:rPr>
          <w:rFonts w:ascii="FrankRuehl" w:hAnsi="FrankRuehl" w:cs="FrankRuehl"/>
          <w:sz w:val="28"/>
          <w:szCs w:val="28"/>
          <w:rtl/>
        </w:rPr>
        <w:t xml:space="preserve"> מתבטלת, וכפועל יוצא אף יל</w:t>
      </w:r>
      <w:r>
        <w:rPr>
          <w:rFonts w:ascii="FrankRuehl" w:hAnsi="FrankRuehl" w:cs="FrankRuehl"/>
          <w:sz w:val="28"/>
          <w:szCs w:val="28"/>
          <w:rtl/>
        </w:rPr>
        <w:t>דיו אינם יורשים דבר. עוד טען ד</w:t>
      </w:r>
      <w:r>
        <w:rPr>
          <w:rFonts w:ascii="FrankRuehl" w:hAnsi="FrankRuehl" w:cs="FrankRuehl" w:hint="cs"/>
          <w:sz w:val="28"/>
          <w:szCs w:val="28"/>
          <w:rtl/>
        </w:rPr>
        <w:t>'</w:t>
      </w:r>
      <w:r w:rsidR="00960807">
        <w:rPr>
          <w:rFonts w:ascii="FrankRuehl" w:hAnsi="FrankRuehl" w:cs="FrankRuehl"/>
          <w:sz w:val="28"/>
          <w:szCs w:val="28"/>
          <w:rtl/>
        </w:rPr>
        <w:t xml:space="preserve"> כי לפי סעיף 42(ד) לחוק הירושה, הוראת צוואה של יורש אחר יורש ליותר משניים בטלה.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עוד טען, כי סעיף 49 לחוק הירושה העוסק ביורש שמת לפני המוריש אינה חלה בעניין כאן, שכן מדובר בצוואה הדדית ואין כל הוראה בצ</w:t>
      </w:r>
      <w:r w:rsidR="007D3ADD">
        <w:rPr>
          <w:rFonts w:ascii="FrankRuehl" w:hAnsi="FrankRuehl" w:cs="FrankRuehl"/>
          <w:sz w:val="28"/>
          <w:szCs w:val="28"/>
          <w:rtl/>
        </w:rPr>
        <w:t>וואה מה יקרה במותו של מ</w:t>
      </w:r>
      <w:r w:rsidR="007D3ADD">
        <w:rPr>
          <w:rFonts w:ascii="FrankRuehl" w:hAnsi="FrankRuehl" w:cs="FrankRuehl" w:hint="cs"/>
          <w:sz w:val="28"/>
          <w:szCs w:val="28"/>
          <w:rtl/>
        </w:rPr>
        <w:t>.ש</w:t>
      </w:r>
      <w:r>
        <w:rPr>
          <w:rFonts w:ascii="FrankRuehl" w:hAnsi="FrankRuehl" w:cs="FrankRuehl"/>
          <w:sz w:val="28"/>
          <w:szCs w:val="28"/>
          <w:rtl/>
        </w:rPr>
        <w:t>.</w:t>
      </w:r>
      <w:r w:rsidR="007D3ADD">
        <w:rPr>
          <w:rFonts w:ascii="FrankRuehl" w:hAnsi="FrankRuehl" w:cs="FrankRuehl"/>
          <w:sz w:val="28"/>
          <w:szCs w:val="28"/>
          <w:rtl/>
        </w:rPr>
        <w:t xml:space="preserve"> הזוכה לפי הצוואה היא ר</w:t>
      </w:r>
      <w:r w:rsidR="007D3ADD">
        <w:rPr>
          <w:rFonts w:ascii="FrankRuehl" w:hAnsi="FrankRuehl" w:cs="FrankRuehl" w:hint="cs"/>
          <w:sz w:val="28"/>
          <w:szCs w:val="28"/>
          <w:rtl/>
        </w:rPr>
        <w:t>'</w:t>
      </w:r>
      <w:r w:rsidR="007D3ADD">
        <w:rPr>
          <w:rFonts w:ascii="FrankRuehl" w:hAnsi="FrankRuehl" w:cs="FrankRuehl"/>
          <w:sz w:val="28"/>
          <w:szCs w:val="28"/>
          <w:rtl/>
        </w:rPr>
        <w:t>, ומ</w:t>
      </w:r>
      <w:r w:rsidR="007D3ADD">
        <w:rPr>
          <w:rFonts w:ascii="FrankRuehl" w:hAnsi="FrankRuehl" w:cs="FrankRuehl" w:hint="cs"/>
          <w:sz w:val="28"/>
          <w:szCs w:val="28"/>
          <w:rtl/>
        </w:rPr>
        <w:t>.ש</w:t>
      </w:r>
      <w:r>
        <w:rPr>
          <w:rFonts w:ascii="FrankRuehl" w:hAnsi="FrankRuehl" w:cs="FrankRuehl"/>
          <w:sz w:val="28"/>
          <w:szCs w:val="28"/>
          <w:rtl/>
        </w:rPr>
        <w:t xml:space="preserve"> כלל לא הגיע למעמד של זוכה.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להשלמת התמונה יצוין כי עו"ד מרגלית הלך אף הוא לבית עולמו טרם שעלה בידו להעיד על תצהיריו (בפנינו נחלקו הצדדים באשר לגורם דחיית עדותו אשר הביא בסופו של יום לכך שלא נחקר - לטענת המערערים נבע הדבר מדחיית עדותו על ידי בית המשפט ואילו לטענת המשיב התנגדו המערערים לשמיעת עדותו במועד קרוב וטעמם עמהם). כך או כך, בית המשפט קמא קבע כי תצהיריו אשר צורפו לתיק המוצגים לא יוצאו מהתיק, וכי באפשרות הצדדים להתייחס לסוגיית משקלם הראייתי של המסמכים בסיכומיהם. </w:t>
      </w:r>
    </w:p>
    <w:p w:rsidR="00960807" w:rsidRDefault="00960807" w:rsidP="00960807">
      <w:pPr>
        <w:spacing w:line="360" w:lineRule="auto"/>
        <w:jc w:val="both"/>
        <w:rPr>
          <w:rFonts w:ascii="Miriam" w:hAnsi="Miriam" w:cs="Miriam"/>
          <w:color w:val="000000"/>
          <w:rtl/>
        </w:rPr>
      </w:pPr>
    </w:p>
    <w:p w:rsidR="00960807" w:rsidRDefault="00960807" w:rsidP="00960807">
      <w:pPr>
        <w:spacing w:line="360" w:lineRule="auto"/>
        <w:jc w:val="both"/>
        <w:rPr>
          <w:rFonts w:ascii="Miriam" w:hAnsi="Miriam" w:cs="Miriam"/>
          <w:color w:val="000000"/>
          <w:rtl/>
        </w:rPr>
      </w:pPr>
      <w:r>
        <w:rPr>
          <w:rFonts w:ascii="Miriam" w:hAnsi="Miriam" w:cs="Miriam"/>
          <w:color w:val="000000"/>
          <w:rtl/>
        </w:rPr>
        <w:t xml:space="preserve">פסק דינו של בית משפט קמא </w:t>
      </w:r>
    </w:p>
    <w:p w:rsidR="00960807" w:rsidRDefault="00960807" w:rsidP="00960807">
      <w:pPr>
        <w:pStyle w:val="ad"/>
        <w:spacing w:line="360" w:lineRule="auto"/>
        <w:jc w:val="both"/>
        <w:rPr>
          <w:rFonts w:ascii="FrankRuehl" w:hAnsi="FrankRuehl" w:cs="FrankRuehl"/>
          <w:b/>
          <w:bCs/>
          <w:sz w:val="28"/>
          <w:szCs w:val="28"/>
          <w:u w:val="single"/>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בית המשפט קמא קבע, כי יש לפרש את סעיף 5 לצוואה ככזה המתייחס למותם של המנוחים בעת ובעונה אחת. בית המשפט מבסס קביעתו על אופן פירושה של צוואה בהתאם לסעיף 54(א) לחוק הירושה ולפיו, יש לבחון, ראשית, את לשון הצוואה ("אומד דעתו של המצווה </w:t>
      </w:r>
      <w:r>
        <w:rPr>
          <w:rFonts w:ascii="FrankRuehl" w:hAnsi="FrankRuehl" w:cs="FrankRuehl"/>
          <w:sz w:val="28"/>
          <w:szCs w:val="28"/>
          <w:rtl/>
        </w:rPr>
        <w:lastRenderedPageBreak/>
        <w:t xml:space="preserve">כפי שהיא משתמעת מתוך הצוואה"), ובמידה שאומד דעת המצווה אינה משתמעת מתכנה של הצוואה, כפי שהיא משתמעת מתוך הנסיבות". </w:t>
      </w:r>
    </w:p>
    <w:p w:rsidR="00960807" w:rsidRDefault="00960807" w:rsidP="00960807">
      <w:pPr>
        <w:pStyle w:val="ad"/>
        <w:spacing w:line="360" w:lineRule="auto"/>
        <w:jc w:val="both"/>
        <w:rPr>
          <w:rFonts w:ascii="FrankRuehl" w:hAnsi="FrankRuehl" w:cs="FrankRuehl"/>
          <w:b/>
          <w:bCs/>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בית המשפט מתבסס על הפסיקה לפיה, ההיזקקות לנסיבות חיצוניות רלוונטית רק מקום בו לא ניתן לעמוד על דעתו של המצווה מתוך הצוואה. היינו, כאשר לשון הצוואה איננה ברורה, או כשפירוש מילולי של הוראה אחת איננו מתיישב עם הוראות אחרות  (ע"א 239/89 </w:t>
      </w:r>
      <w:r>
        <w:rPr>
          <w:rFonts w:ascii="FrankRuehl" w:hAnsi="FrankRuehl" w:cs="FrankRuehl"/>
          <w:b/>
          <w:bCs/>
          <w:sz w:val="28"/>
          <w:szCs w:val="28"/>
          <w:rtl/>
        </w:rPr>
        <w:t>שורש נ' גלילי</w:t>
      </w:r>
      <w:r>
        <w:rPr>
          <w:rFonts w:ascii="FrankRuehl" w:hAnsi="FrankRuehl" w:cs="FrankRuehl"/>
          <w:sz w:val="28"/>
          <w:szCs w:val="28"/>
          <w:rtl/>
        </w:rPr>
        <w:t>, פ"ד מו(1) 861, 866 (1992),</w:t>
      </w:r>
      <w:r>
        <w:rPr>
          <w:rFonts w:ascii="FrankRuehl" w:hAnsi="FrankRuehl" w:cs="FrankRuehl"/>
          <w:color w:val="000000"/>
          <w:sz w:val="28"/>
          <w:szCs w:val="28"/>
          <w:shd w:val="clear" w:color="auto" w:fill="FFFFFF"/>
          <w:rtl/>
        </w:rPr>
        <w:t xml:space="preserve"> בע"מ 8300/11 </w:t>
      </w:r>
      <w:r>
        <w:rPr>
          <w:rFonts w:ascii="FrankRuehl" w:hAnsi="FrankRuehl" w:cs="FrankRuehl"/>
          <w:b/>
          <w:bCs/>
          <w:color w:val="000000"/>
          <w:sz w:val="28"/>
          <w:szCs w:val="28"/>
          <w:shd w:val="clear" w:color="auto" w:fill="FFFFFF"/>
          <w:rtl/>
        </w:rPr>
        <w:t>פלוני נ' פלונית</w:t>
      </w:r>
      <w:r>
        <w:rPr>
          <w:rFonts w:ascii="FrankRuehl" w:hAnsi="FrankRuehl" w:cs="FrankRuehl"/>
          <w:color w:val="000000"/>
          <w:sz w:val="28"/>
          <w:szCs w:val="28"/>
          <w:shd w:val="clear" w:color="auto" w:fill="FFFFFF"/>
          <w:rtl/>
        </w:rPr>
        <w:t xml:space="preserve"> (2.8.2012)).</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בית המשפט קבע, כי לשון הסעיף ברורה. כי יש לפרש את המילים "נפטרו מן העולם יחדיו" כפשוטן, כי בראש הסעיף מצוינת המילה "אם", שהינה מילת תנאי, המצביעה על מקרה שיתכן ויקרה בעתיד וכן מצוין הביטוי "חס וחלילה", המצביע על אירוע חריג וטרגי ולא אירוע טבעי שעתיד להתרחש בכל מקרה. בית המשפט התייחס לכך כי אף בסעיף 4 התייחסו המנוחים למקרה חריג של מוות בעת ובעונה אחת (</w:t>
      </w:r>
      <w:r w:rsidR="007D3ADD">
        <w:rPr>
          <w:rFonts w:ascii="FrankRuehl" w:hAnsi="FrankRuehl" w:cs="FrankRuehl"/>
          <w:sz w:val="28"/>
          <w:szCs w:val="28"/>
          <w:rtl/>
        </w:rPr>
        <w:t>מותם בעת ובעונה אחת של ז</w:t>
      </w:r>
      <w:r w:rsidR="007D3ADD">
        <w:rPr>
          <w:rFonts w:ascii="FrankRuehl" w:hAnsi="FrankRuehl" w:cs="FrankRuehl" w:hint="cs"/>
          <w:sz w:val="28"/>
          <w:szCs w:val="28"/>
          <w:rtl/>
        </w:rPr>
        <w:t>.ש</w:t>
      </w:r>
      <w:r w:rsidR="007D3ADD">
        <w:rPr>
          <w:rFonts w:ascii="FrankRuehl" w:hAnsi="FrankRuehl" w:cs="FrankRuehl"/>
          <w:sz w:val="28"/>
          <w:szCs w:val="28"/>
          <w:rtl/>
        </w:rPr>
        <w:t xml:space="preserve"> ואמו פ</w:t>
      </w:r>
      <w:r w:rsidR="007D3ADD">
        <w:rPr>
          <w:rFonts w:ascii="FrankRuehl" w:hAnsi="FrankRuehl" w:cs="FrankRuehl" w:hint="cs"/>
          <w:sz w:val="28"/>
          <w:szCs w:val="28"/>
          <w:rtl/>
        </w:rPr>
        <w:t>'</w:t>
      </w:r>
      <w:r>
        <w:rPr>
          <w:rFonts w:ascii="FrankRuehl" w:hAnsi="FrankRuehl" w:cs="FrankRuehl"/>
          <w:sz w:val="28"/>
          <w:szCs w:val="28"/>
          <w:rtl/>
        </w:rPr>
        <w:t xml:space="preserve">), ואף שם השתמשו בצמד המילים "חס וחלילה" וזאת בשנה ממקרה רגיל של מוות האחד אחרי השני, המתואר בסעיף 2, בו לא נעשה שימוש בצמד מילים זה.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למעלה מן הצורך בחן בית המש</w:t>
      </w:r>
      <w:r w:rsidR="007D3ADD">
        <w:rPr>
          <w:rFonts w:ascii="FrankRuehl" w:hAnsi="FrankRuehl" w:cs="FrankRuehl"/>
          <w:sz w:val="28"/>
          <w:szCs w:val="28"/>
          <w:rtl/>
        </w:rPr>
        <w:t>פט אף את אומד דעתה של ר</w:t>
      </w:r>
      <w:r w:rsidR="007D3ADD">
        <w:rPr>
          <w:rFonts w:ascii="FrankRuehl" w:hAnsi="FrankRuehl" w:cs="FrankRuehl" w:hint="cs"/>
          <w:sz w:val="28"/>
          <w:szCs w:val="28"/>
          <w:rtl/>
        </w:rPr>
        <w:t>.ש</w:t>
      </w:r>
      <w:r>
        <w:rPr>
          <w:rFonts w:ascii="FrankRuehl" w:hAnsi="FrankRuehl" w:cs="FrankRuehl"/>
          <w:sz w:val="28"/>
          <w:szCs w:val="28"/>
          <w:rtl/>
        </w:rPr>
        <w:t xml:space="preserve"> ז"ל כפי שעולה מהנסיבות החיצוניות.  </w:t>
      </w:r>
    </w:p>
    <w:p w:rsidR="00960807" w:rsidRDefault="00960807" w:rsidP="00960807">
      <w:pPr>
        <w:pStyle w:val="ad"/>
        <w:spacing w:line="360" w:lineRule="auto"/>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המערערים ציר</w:t>
      </w:r>
      <w:r w:rsidR="007D3ADD">
        <w:rPr>
          <w:rFonts w:ascii="FrankRuehl" w:hAnsi="FrankRuehl" w:cs="FrankRuehl"/>
          <w:sz w:val="28"/>
          <w:szCs w:val="28"/>
          <w:rtl/>
        </w:rPr>
        <w:t>פו הקלטה של שיחה שניהל מ</w:t>
      </w:r>
      <w:r w:rsidR="007D3ADD">
        <w:rPr>
          <w:rFonts w:ascii="FrankRuehl" w:hAnsi="FrankRuehl" w:cs="FrankRuehl" w:hint="cs"/>
          <w:sz w:val="28"/>
          <w:szCs w:val="28"/>
          <w:rtl/>
        </w:rPr>
        <w:t>.ש</w:t>
      </w:r>
      <w:r w:rsidR="007D3ADD">
        <w:rPr>
          <w:rFonts w:ascii="FrankRuehl" w:hAnsi="FrankRuehl" w:cs="FrankRuehl"/>
          <w:sz w:val="28"/>
          <w:szCs w:val="28"/>
          <w:rtl/>
        </w:rPr>
        <w:t xml:space="preserve"> עם המנוחה, ר</w:t>
      </w:r>
      <w:r w:rsidR="007D3ADD">
        <w:rPr>
          <w:rFonts w:ascii="FrankRuehl" w:hAnsi="FrankRuehl" w:cs="FrankRuehl" w:hint="cs"/>
          <w:sz w:val="28"/>
          <w:szCs w:val="28"/>
          <w:rtl/>
        </w:rPr>
        <w:t>.</w:t>
      </w:r>
      <w:r w:rsidR="007D3ADD">
        <w:rPr>
          <w:rFonts w:ascii="FrankRuehl" w:hAnsi="FrankRuehl" w:cs="FrankRuehl"/>
          <w:sz w:val="28"/>
          <w:szCs w:val="28"/>
          <w:rtl/>
        </w:rPr>
        <w:t>ש</w:t>
      </w:r>
      <w:r>
        <w:rPr>
          <w:rFonts w:ascii="FrankRuehl" w:hAnsi="FrankRuehl" w:cs="FrankRuehl"/>
          <w:sz w:val="28"/>
          <w:szCs w:val="28"/>
          <w:rtl/>
        </w:rPr>
        <w:t xml:space="preserve"> ז"ל, ביום 16.2.2017, שלושה</w:t>
      </w:r>
      <w:r w:rsidR="007D3ADD">
        <w:rPr>
          <w:rFonts w:ascii="FrankRuehl" w:hAnsi="FrankRuehl" w:cs="FrankRuehl"/>
          <w:sz w:val="28"/>
          <w:szCs w:val="28"/>
          <w:rtl/>
        </w:rPr>
        <w:t xml:space="preserve"> חודשים לאחר פטירתו של ז</w:t>
      </w:r>
      <w:r w:rsidR="007D3ADD">
        <w:rPr>
          <w:rFonts w:ascii="FrankRuehl" w:hAnsi="FrankRuehl" w:cs="FrankRuehl" w:hint="cs"/>
          <w:sz w:val="28"/>
          <w:szCs w:val="28"/>
          <w:rtl/>
        </w:rPr>
        <w:t>.ש</w:t>
      </w:r>
      <w:r>
        <w:rPr>
          <w:rFonts w:ascii="FrankRuehl" w:hAnsi="FrankRuehl" w:cs="FrankRuehl"/>
          <w:sz w:val="28"/>
          <w:szCs w:val="28"/>
          <w:rtl/>
        </w:rPr>
        <w:t xml:space="preserve"> ז"ל (להלן: "</w:t>
      </w:r>
      <w:r>
        <w:rPr>
          <w:rFonts w:ascii="FrankRuehl" w:hAnsi="FrankRuehl" w:cs="FrankRuehl"/>
          <w:b/>
          <w:bCs/>
          <w:sz w:val="28"/>
          <w:szCs w:val="28"/>
          <w:rtl/>
        </w:rPr>
        <w:t>ההקלטה הראשונה</w:t>
      </w:r>
      <w:r>
        <w:rPr>
          <w:rFonts w:ascii="FrankRuehl" w:hAnsi="FrankRuehl" w:cs="FrankRuehl"/>
          <w:sz w:val="28"/>
          <w:szCs w:val="28"/>
          <w:rtl/>
        </w:rPr>
        <w:t xml:space="preserve">"). נציין כבר עתה, כי במהלך ההליך בפני </w:t>
      </w:r>
      <w:r w:rsidR="007D3ADD">
        <w:rPr>
          <w:rFonts w:ascii="FrankRuehl" w:hAnsi="FrankRuehl" w:cs="FrankRuehl"/>
          <w:sz w:val="28"/>
          <w:szCs w:val="28"/>
          <w:rtl/>
        </w:rPr>
        <w:t>בית המשפט קמא התברר כי מ</w:t>
      </w:r>
      <w:r w:rsidR="007D3ADD">
        <w:rPr>
          <w:rFonts w:ascii="FrankRuehl" w:hAnsi="FrankRuehl" w:cs="FrankRuehl" w:hint="cs"/>
          <w:sz w:val="28"/>
          <w:szCs w:val="28"/>
          <w:rtl/>
        </w:rPr>
        <w:t>.ש</w:t>
      </w:r>
      <w:r w:rsidR="007D3ADD">
        <w:rPr>
          <w:rFonts w:ascii="FrankRuehl" w:hAnsi="FrankRuehl" w:cs="FrankRuehl"/>
          <w:sz w:val="28"/>
          <w:szCs w:val="28"/>
          <w:rtl/>
        </w:rPr>
        <w:t xml:space="preserve"> הקליט את ר</w:t>
      </w:r>
      <w:r w:rsidR="007D3ADD">
        <w:rPr>
          <w:rFonts w:ascii="FrankRuehl" w:hAnsi="FrankRuehl" w:cs="FrankRuehl" w:hint="cs"/>
          <w:sz w:val="28"/>
          <w:szCs w:val="28"/>
          <w:rtl/>
        </w:rPr>
        <w:t xml:space="preserve">.ש </w:t>
      </w:r>
      <w:r>
        <w:rPr>
          <w:rFonts w:ascii="FrankRuehl" w:hAnsi="FrankRuehl" w:cs="FrankRuehl"/>
          <w:sz w:val="28"/>
          <w:szCs w:val="28"/>
          <w:rtl/>
        </w:rPr>
        <w:t>ז"ל פעם נוספת, ביום 25.6.2018, הקלטה שלא גולתה על ידו בתחילה ולאחר שנחשף קיומ</w:t>
      </w:r>
      <w:r w:rsidR="007D3ADD">
        <w:rPr>
          <w:rFonts w:ascii="FrankRuehl" w:hAnsi="FrankRuehl" w:cs="FrankRuehl"/>
          <w:sz w:val="28"/>
          <w:szCs w:val="28"/>
          <w:rtl/>
        </w:rPr>
        <w:t>ה, צורפה אף היא על ידי ד</w:t>
      </w:r>
      <w:r w:rsidR="007D3ADD">
        <w:rPr>
          <w:rFonts w:ascii="FrankRuehl" w:hAnsi="FrankRuehl" w:cs="FrankRuehl" w:hint="cs"/>
          <w:sz w:val="28"/>
          <w:szCs w:val="28"/>
          <w:rtl/>
        </w:rPr>
        <w:t>.ש</w:t>
      </w:r>
      <w:r>
        <w:rPr>
          <w:rFonts w:ascii="FrankRuehl" w:hAnsi="FrankRuehl" w:cs="FrankRuehl"/>
          <w:sz w:val="28"/>
          <w:szCs w:val="28"/>
          <w:rtl/>
        </w:rPr>
        <w:t xml:space="preserve"> (להלן: </w:t>
      </w:r>
      <w:r>
        <w:rPr>
          <w:rFonts w:ascii="FrankRuehl" w:hAnsi="FrankRuehl" w:cs="FrankRuehl"/>
          <w:b/>
          <w:bCs/>
          <w:sz w:val="28"/>
          <w:szCs w:val="28"/>
          <w:rtl/>
        </w:rPr>
        <w:t>"ההקלטה השנייה"</w:t>
      </w:r>
      <w:r>
        <w:rPr>
          <w:rFonts w:ascii="FrankRuehl" w:hAnsi="FrankRuehl" w:cs="FrankRuehl"/>
          <w:sz w:val="28"/>
          <w:szCs w:val="28"/>
          <w:rtl/>
        </w:rPr>
        <w:t>).</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בית המשפט קבע, כי בשמיעת </w:t>
      </w:r>
      <w:r w:rsidR="007D3ADD">
        <w:rPr>
          <w:rFonts w:ascii="FrankRuehl" w:hAnsi="FrankRuehl" w:cs="FrankRuehl"/>
          <w:sz w:val="28"/>
          <w:szCs w:val="28"/>
          <w:rtl/>
        </w:rPr>
        <w:t>ההקלטה הראשונה עולה כי מ</w:t>
      </w:r>
      <w:r w:rsidR="007D3ADD">
        <w:rPr>
          <w:rFonts w:ascii="FrankRuehl" w:hAnsi="FrankRuehl" w:cs="FrankRuehl" w:hint="cs"/>
          <w:sz w:val="28"/>
          <w:szCs w:val="28"/>
          <w:rtl/>
        </w:rPr>
        <w:t>.ש</w:t>
      </w:r>
      <w:r w:rsidR="007D3ADD">
        <w:rPr>
          <w:rFonts w:ascii="FrankRuehl" w:hAnsi="FrankRuehl" w:cs="FrankRuehl"/>
          <w:sz w:val="28"/>
          <w:szCs w:val="28"/>
          <w:rtl/>
        </w:rPr>
        <w:t xml:space="preserve"> מנסה 'למשוך את ר</w:t>
      </w:r>
      <w:r w:rsidR="007D3ADD">
        <w:rPr>
          <w:rFonts w:ascii="FrankRuehl" w:hAnsi="FrankRuehl" w:cs="FrankRuehl" w:hint="cs"/>
          <w:sz w:val="28"/>
          <w:szCs w:val="28"/>
          <w:rtl/>
        </w:rPr>
        <w:t>'</w:t>
      </w:r>
      <w:r>
        <w:rPr>
          <w:rFonts w:ascii="FrankRuehl" w:hAnsi="FrankRuehl" w:cs="FrankRuehl"/>
          <w:sz w:val="28"/>
          <w:szCs w:val="28"/>
          <w:rtl/>
        </w:rPr>
        <w:t xml:space="preserve"> בלשונה' וכי לא ניתן ללמוד מההקלטה באופן ברור מה הייתה כוונתה. בית המשפט אף נתן משקל לעובדה, כי</w:t>
      </w:r>
      <w:r>
        <w:rPr>
          <w:rFonts w:ascii="FrankRuehl" w:hAnsi="FrankRuehl" w:cs="FrankRuehl"/>
          <w:b/>
          <w:bCs/>
          <w:sz w:val="28"/>
          <w:szCs w:val="28"/>
          <w:rtl/>
        </w:rPr>
        <w:t xml:space="preserve"> </w:t>
      </w:r>
      <w:r w:rsidR="007D3ADD">
        <w:rPr>
          <w:rFonts w:ascii="FrankRuehl" w:hAnsi="FrankRuehl" w:cs="FrankRuehl"/>
          <w:sz w:val="28"/>
          <w:szCs w:val="28"/>
          <w:rtl/>
        </w:rPr>
        <w:t>מ</w:t>
      </w:r>
      <w:r w:rsidR="007D3ADD">
        <w:rPr>
          <w:rFonts w:ascii="FrankRuehl" w:hAnsi="FrankRuehl" w:cs="FrankRuehl" w:hint="cs"/>
          <w:sz w:val="28"/>
          <w:szCs w:val="28"/>
          <w:rtl/>
        </w:rPr>
        <w:t>.ש</w:t>
      </w:r>
      <w:r w:rsidR="007D3ADD">
        <w:rPr>
          <w:rFonts w:ascii="FrankRuehl" w:hAnsi="FrankRuehl" w:cs="FrankRuehl"/>
          <w:sz w:val="28"/>
          <w:szCs w:val="28"/>
          <w:rtl/>
        </w:rPr>
        <w:t xml:space="preserve"> הודה בחקירתו כי הקליט את ר</w:t>
      </w:r>
      <w:r w:rsidR="007D3ADD">
        <w:rPr>
          <w:rFonts w:ascii="FrankRuehl" w:hAnsi="FrankRuehl" w:cs="FrankRuehl" w:hint="cs"/>
          <w:sz w:val="28"/>
          <w:szCs w:val="28"/>
          <w:rtl/>
        </w:rPr>
        <w:t>'</w:t>
      </w:r>
      <w:r>
        <w:rPr>
          <w:rFonts w:ascii="FrankRuehl" w:hAnsi="FrankRuehl" w:cs="FrankRuehl"/>
          <w:sz w:val="28"/>
          <w:szCs w:val="28"/>
          <w:rtl/>
        </w:rPr>
        <w:t xml:space="preserve"> מספר פעמים, כאשר אין בפני בית המשפט את מלוא ההקלטות שנערכו על</w:t>
      </w:r>
      <w:r w:rsidR="007D3ADD">
        <w:rPr>
          <w:rFonts w:ascii="FrankRuehl" w:hAnsi="FrankRuehl" w:cs="FrankRuehl"/>
          <w:sz w:val="28"/>
          <w:szCs w:val="28"/>
          <w:rtl/>
        </w:rPr>
        <w:t xml:space="preserve"> ידי מ</w:t>
      </w:r>
      <w:r w:rsidR="007D3ADD">
        <w:rPr>
          <w:rFonts w:ascii="FrankRuehl" w:hAnsi="FrankRuehl" w:cs="FrankRuehl" w:hint="cs"/>
          <w:sz w:val="28"/>
          <w:szCs w:val="28"/>
          <w:rtl/>
        </w:rPr>
        <w:t>.ש</w:t>
      </w:r>
      <w:r>
        <w:rPr>
          <w:rFonts w:ascii="FrankRuehl" w:hAnsi="FrankRuehl" w:cs="FrankRuehl"/>
          <w:sz w:val="28"/>
          <w:szCs w:val="28"/>
          <w:rtl/>
        </w:rPr>
        <w:t xml:space="preserve"> אלא רק את החלק שצורף (בעמ' 19 לפרוטוקול מיום </w:t>
      </w:r>
      <w:r>
        <w:rPr>
          <w:rFonts w:ascii="FrankRuehl" w:hAnsi="FrankRuehl" w:cs="FrankRuehl"/>
          <w:sz w:val="28"/>
          <w:szCs w:val="28"/>
          <w:rtl/>
        </w:rPr>
        <w:lastRenderedPageBreak/>
        <w:t xml:space="preserve">8.4.21), ומשכך, יש להתייחס לדברים שהוקלטו בזהירות וכן לעובדה, כי מההקלטה השנייה עולה, כי המנוחה סברה שלאחר מות המנוח היא יכולה לעשות במלוא הרכוש כרצונה.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כמו כן, כאמור, דברי המנוחה הנשמעים תומכים</w:t>
      </w:r>
      <w:r w:rsidR="007D3ADD">
        <w:rPr>
          <w:rFonts w:ascii="FrankRuehl" w:hAnsi="FrankRuehl" w:cs="FrankRuehl"/>
          <w:sz w:val="28"/>
          <w:szCs w:val="28"/>
          <w:rtl/>
        </w:rPr>
        <w:t xml:space="preserve"> דווקא בפרשנות לפיה ר</w:t>
      </w:r>
      <w:r w:rsidR="007D3ADD">
        <w:rPr>
          <w:rFonts w:ascii="FrankRuehl" w:hAnsi="FrankRuehl" w:cs="FrankRuehl" w:hint="cs"/>
          <w:sz w:val="28"/>
          <w:szCs w:val="28"/>
          <w:rtl/>
        </w:rPr>
        <w:t>.ש</w:t>
      </w:r>
      <w:r w:rsidR="007D3ADD">
        <w:rPr>
          <w:rFonts w:ascii="FrankRuehl" w:hAnsi="FrankRuehl" w:cs="FrankRuehl"/>
          <w:sz w:val="28"/>
          <w:szCs w:val="28"/>
          <w:rtl/>
        </w:rPr>
        <w:t xml:space="preserve"> ז"ל סבורה שלאחר מות ז</w:t>
      </w:r>
      <w:r w:rsidR="007D3ADD">
        <w:rPr>
          <w:rFonts w:ascii="FrankRuehl" w:hAnsi="FrankRuehl" w:cs="FrankRuehl" w:hint="cs"/>
          <w:sz w:val="28"/>
          <w:szCs w:val="28"/>
          <w:rtl/>
        </w:rPr>
        <w:t>.ש</w:t>
      </w:r>
      <w:r>
        <w:rPr>
          <w:rFonts w:ascii="FrankRuehl" w:hAnsi="FrankRuehl" w:cs="FrankRuehl"/>
          <w:sz w:val="28"/>
          <w:szCs w:val="28"/>
          <w:rtl/>
        </w:rPr>
        <w:t xml:space="preserve"> ז"ל, כל הרכוש המשותף הינו שלה, והיא יכולה לעשות בו כרצונה, מבלי שנקבע בצוואה למי עליה להוריש את הרכוש שנותר, ככל שנותר, ובלי כל התחייבות כלפי אף אחד. </w:t>
      </w:r>
    </w:p>
    <w:p w:rsidR="00960807" w:rsidRDefault="00960807" w:rsidP="00960807">
      <w:pPr>
        <w:pStyle w:val="ad"/>
        <w:spacing w:line="360" w:lineRule="auto"/>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נסיבה חיצונית נוספת אליה התייחס בית המשפט קמא, הינה תצהיריו של עו"ד מרגלית, עורך הצוואה.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בית המשפט קבע, כי קיימת סתירה בין שני תצהירי עורך דין מרגלית; בתצהירו הראשון התייחס עוה"ד מרגלית לכוונתו (שלו) בעת עריכת התצהיר, ואילו בתצהיר השני שינה טעמו והתייחס לכוונת המנוחים. בית המשפט קבע, כי כוונתו של עורך הדין אינה זו הנבחנת על ידי בית המשפט. סתירה נוספת מצא, בכך שבתצהירו הראשון הבהיר עו"ד מרגלית, כי על פי סעיף 5 לצוואה בן הזוג האחרון שילך לעולמו, יוריש את חלקו כ</w:t>
      </w:r>
      <w:r w:rsidR="007D3ADD">
        <w:rPr>
          <w:rFonts w:ascii="FrankRuehl" w:hAnsi="FrankRuehl" w:cs="FrankRuehl"/>
          <w:sz w:val="28"/>
          <w:szCs w:val="28"/>
          <w:rtl/>
        </w:rPr>
        <w:t>מפורט בסעיף  - היינו, ר</w:t>
      </w:r>
      <w:r w:rsidR="007D3ADD">
        <w:rPr>
          <w:rFonts w:ascii="FrankRuehl" w:hAnsi="FrankRuehl" w:cs="FrankRuehl" w:hint="cs"/>
          <w:sz w:val="28"/>
          <w:szCs w:val="28"/>
          <w:rtl/>
        </w:rPr>
        <w:t>.ש</w:t>
      </w:r>
      <w:r>
        <w:rPr>
          <w:rFonts w:ascii="FrankRuehl" w:hAnsi="FrankRuehl" w:cs="FrankRuehl"/>
          <w:sz w:val="28"/>
          <w:szCs w:val="28"/>
          <w:rtl/>
        </w:rPr>
        <w:t>, על פי סעיף זה אמורה להוריש את חלקה (שהוא למעשה כלל העיזבון) לאחיה ואילו בתצהיר השני שינה טעמו וציין, כי "לאחר פטירת האחרון מביניה</w:t>
      </w:r>
      <w:r w:rsidR="007D3ADD">
        <w:rPr>
          <w:rFonts w:ascii="FrankRuehl" w:hAnsi="FrankRuehl" w:cs="FrankRuehl"/>
          <w:sz w:val="28"/>
          <w:szCs w:val="28"/>
          <w:rtl/>
        </w:rPr>
        <w:t>ם, העיזבון יחולק בין אחיו של ז</w:t>
      </w:r>
      <w:r w:rsidR="007D3ADD">
        <w:rPr>
          <w:rFonts w:ascii="FrankRuehl" w:hAnsi="FrankRuehl" w:cs="FrankRuehl" w:hint="cs"/>
          <w:sz w:val="28"/>
          <w:szCs w:val="28"/>
          <w:rtl/>
        </w:rPr>
        <w:t>'</w:t>
      </w:r>
      <w:r w:rsidR="007D3ADD">
        <w:rPr>
          <w:rFonts w:ascii="FrankRuehl" w:hAnsi="FrankRuehl" w:cs="FrankRuehl"/>
          <w:sz w:val="28"/>
          <w:szCs w:val="28"/>
          <w:rtl/>
        </w:rPr>
        <w:t xml:space="preserve"> ולבין אחיה של ר</w:t>
      </w:r>
      <w:r w:rsidR="007D3ADD">
        <w:rPr>
          <w:rFonts w:ascii="FrankRuehl" w:hAnsi="FrankRuehl" w:cs="FrankRuehl" w:hint="cs"/>
          <w:sz w:val="28"/>
          <w:szCs w:val="28"/>
          <w:rtl/>
        </w:rPr>
        <w:t xml:space="preserve">' </w:t>
      </w:r>
      <w:r>
        <w:rPr>
          <w:rFonts w:ascii="FrankRuehl" w:hAnsi="FrankRuehl" w:cs="FrankRuehl"/>
          <w:sz w:val="28"/>
          <w:szCs w:val="28"/>
          <w:rtl/>
        </w:rPr>
        <w:t>".</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לאור הסתירה בין הגרסאות, ומשלא נשמעה עדותו של עו"ד מרגלית, מצא בית המשפט כי אין מדובר בנסיבה חיצונית שיש בה בכדי לתמוך בטענות ח</w:t>
      </w:r>
      <w:r w:rsidR="007D3ADD">
        <w:rPr>
          <w:rFonts w:ascii="FrankRuehl" w:hAnsi="FrankRuehl" w:cs="FrankRuehl" w:hint="cs"/>
          <w:sz w:val="28"/>
          <w:szCs w:val="28"/>
          <w:rtl/>
        </w:rPr>
        <w:t xml:space="preserve">.ש </w:t>
      </w:r>
      <w:r>
        <w:rPr>
          <w:rFonts w:ascii="FrankRuehl" w:hAnsi="FrankRuehl" w:cs="FrankRuehl"/>
          <w:sz w:val="28"/>
          <w:szCs w:val="28"/>
          <w:rtl/>
        </w:rPr>
        <w:t>ו</w:t>
      </w:r>
      <w:r w:rsidR="007D3ADD">
        <w:rPr>
          <w:rFonts w:ascii="FrankRuehl" w:hAnsi="FrankRuehl" w:cs="FrankRuehl" w:hint="cs"/>
          <w:sz w:val="28"/>
          <w:szCs w:val="28"/>
          <w:rtl/>
        </w:rPr>
        <w:t>-מ.ש</w:t>
      </w:r>
      <w:r>
        <w:rPr>
          <w:rFonts w:ascii="FrankRuehl" w:hAnsi="FrankRuehl" w:cs="FrankRuehl"/>
          <w:sz w:val="28"/>
          <w:szCs w:val="28"/>
          <w:rtl/>
        </w:rPr>
        <w:t xml:space="preserve">. </w:t>
      </w:r>
    </w:p>
    <w:p w:rsidR="00960807" w:rsidRDefault="00960807" w:rsidP="00960807">
      <w:pPr>
        <w:pStyle w:val="ad"/>
        <w:spacing w:line="360" w:lineRule="auto"/>
        <w:jc w:val="both"/>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בית המשפט התייחס לטענות </w:t>
      </w:r>
      <w:r w:rsidR="007D3ADD">
        <w:rPr>
          <w:rFonts w:ascii="FrankRuehl" w:hAnsi="FrankRuehl" w:cs="FrankRuehl" w:hint="cs"/>
          <w:sz w:val="28"/>
          <w:szCs w:val="28"/>
          <w:rtl/>
        </w:rPr>
        <w:t>ח.ש ו- מ.ש</w:t>
      </w:r>
      <w:r>
        <w:rPr>
          <w:rFonts w:ascii="FrankRuehl" w:hAnsi="FrankRuehl" w:cs="FrankRuehl"/>
          <w:sz w:val="28"/>
          <w:szCs w:val="28"/>
          <w:rtl/>
        </w:rPr>
        <w:t xml:space="preserve"> לפיהן, אין זה צודק שלא יקבלו דבר מירושת ז</w:t>
      </w:r>
      <w:r w:rsidR="007D3ADD">
        <w:rPr>
          <w:rFonts w:ascii="FrankRuehl" w:hAnsi="FrankRuehl" w:cs="FrankRuehl" w:hint="cs"/>
          <w:sz w:val="28"/>
          <w:szCs w:val="28"/>
          <w:rtl/>
        </w:rPr>
        <w:t xml:space="preserve">.ש </w:t>
      </w:r>
      <w:r>
        <w:rPr>
          <w:rFonts w:ascii="FrankRuehl" w:hAnsi="FrankRuehl" w:cs="FrankRuehl"/>
          <w:sz w:val="28"/>
          <w:szCs w:val="28"/>
          <w:rtl/>
        </w:rPr>
        <w:t>לאחר שדאגו למנוחים והיו להם כמשפחה. בית המשפט קבע, כי יש לקיים את רצון המת כפי שעולה מצוואתו ולא בהתאם להיגיון ולצדק חיצוניים ולגוף העניין כי יכול בהחלט שהמנוחים בקשו לדאוג איש לרעותו ללא התחייבויות לאחרים.</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lastRenderedPageBreak/>
        <w:t>לאור אלו קבע, כי משעה שהצוואה לא עוס</w:t>
      </w:r>
      <w:r w:rsidR="007D3ADD">
        <w:rPr>
          <w:rFonts w:ascii="FrankRuehl" w:hAnsi="FrankRuehl" w:cs="FrankRuehl"/>
          <w:sz w:val="28"/>
          <w:szCs w:val="28"/>
          <w:rtl/>
        </w:rPr>
        <w:t>קת בירושה לאחר מותה של ר</w:t>
      </w:r>
      <w:r w:rsidR="007D3ADD">
        <w:rPr>
          <w:rFonts w:ascii="FrankRuehl" w:hAnsi="FrankRuehl" w:cs="FrankRuehl" w:hint="cs"/>
          <w:sz w:val="28"/>
          <w:szCs w:val="28"/>
          <w:rtl/>
        </w:rPr>
        <w:t>.ש</w:t>
      </w:r>
      <w:r>
        <w:rPr>
          <w:rFonts w:ascii="FrankRuehl" w:hAnsi="FrankRuehl" w:cs="FrankRuehl"/>
          <w:sz w:val="28"/>
          <w:szCs w:val="28"/>
          <w:rtl/>
        </w:rPr>
        <w:t xml:space="preserve"> ז"ל, הרי שעיזבונה מועבר ל</w:t>
      </w:r>
      <w:r w:rsidR="007D3ADD">
        <w:rPr>
          <w:rFonts w:ascii="FrankRuehl" w:hAnsi="FrankRuehl" w:cs="FrankRuehl"/>
          <w:sz w:val="28"/>
          <w:szCs w:val="28"/>
          <w:rtl/>
        </w:rPr>
        <w:t>יורשה לפי דין, אחיה ד</w:t>
      </w:r>
      <w:r w:rsidR="007D3ADD">
        <w:rPr>
          <w:rFonts w:ascii="FrankRuehl" w:hAnsi="FrankRuehl" w:cs="FrankRuehl" w:hint="cs"/>
          <w:sz w:val="28"/>
          <w:szCs w:val="28"/>
          <w:rtl/>
        </w:rPr>
        <w:t>.ש</w:t>
      </w:r>
      <w:r>
        <w:rPr>
          <w:rFonts w:ascii="FrankRuehl" w:hAnsi="FrankRuehl" w:cs="FrankRuehl"/>
          <w:sz w:val="28"/>
          <w:szCs w:val="28"/>
          <w:rtl/>
        </w:rPr>
        <w:t>.</w:t>
      </w:r>
    </w:p>
    <w:p w:rsidR="00960807" w:rsidRDefault="00960807" w:rsidP="00960807">
      <w:pPr>
        <w:pStyle w:val="ad"/>
        <w:spacing w:line="360" w:lineRule="auto"/>
        <w:jc w:val="both"/>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לאחר כל אלו, ובבחינת למעלה מן הצורך בחן בית המשפט קמא את מעמד ח</w:t>
      </w:r>
      <w:r w:rsidR="007D3ADD">
        <w:rPr>
          <w:rFonts w:ascii="FrankRuehl" w:hAnsi="FrankRuehl" w:cs="FrankRuehl" w:hint="cs"/>
          <w:sz w:val="28"/>
          <w:szCs w:val="28"/>
          <w:rtl/>
        </w:rPr>
        <w:t>.ש</w:t>
      </w:r>
      <w:r>
        <w:rPr>
          <w:rFonts w:ascii="FrankRuehl" w:hAnsi="FrankRuehl" w:cs="FrankRuehl"/>
          <w:sz w:val="28"/>
          <w:szCs w:val="28"/>
          <w:rtl/>
        </w:rPr>
        <w:t xml:space="preserve"> ו</w:t>
      </w:r>
      <w:r w:rsidR="007D3ADD">
        <w:rPr>
          <w:rFonts w:ascii="FrankRuehl" w:hAnsi="FrankRuehl" w:cs="FrankRuehl" w:hint="cs"/>
          <w:sz w:val="28"/>
          <w:szCs w:val="28"/>
          <w:rtl/>
        </w:rPr>
        <w:t>-</w:t>
      </w:r>
      <w:r>
        <w:rPr>
          <w:rFonts w:ascii="FrankRuehl" w:hAnsi="FrankRuehl" w:cs="FrankRuehl"/>
          <w:sz w:val="28"/>
          <w:szCs w:val="28"/>
          <w:rtl/>
        </w:rPr>
        <w:t>מ</w:t>
      </w:r>
      <w:r w:rsidR="007D3ADD">
        <w:rPr>
          <w:rFonts w:ascii="FrankRuehl" w:hAnsi="FrankRuehl" w:cs="FrankRuehl" w:hint="cs"/>
          <w:sz w:val="28"/>
          <w:szCs w:val="28"/>
          <w:rtl/>
        </w:rPr>
        <w:t>.</w:t>
      </w:r>
      <w:r w:rsidR="007D3ADD">
        <w:rPr>
          <w:rFonts w:ascii="FrankRuehl" w:hAnsi="FrankRuehl" w:cs="FrankRuehl"/>
          <w:sz w:val="28"/>
          <w:szCs w:val="28"/>
          <w:rtl/>
        </w:rPr>
        <w:t>ש</w:t>
      </w:r>
      <w:r w:rsidR="007D3ADD">
        <w:rPr>
          <w:rFonts w:ascii="FrankRuehl" w:hAnsi="FrankRuehl" w:cs="FrankRuehl" w:hint="cs"/>
          <w:sz w:val="28"/>
          <w:szCs w:val="28"/>
          <w:rtl/>
        </w:rPr>
        <w:t xml:space="preserve"> </w:t>
      </w:r>
      <w:r>
        <w:rPr>
          <w:rFonts w:ascii="FrankRuehl" w:hAnsi="FrankRuehl" w:cs="FrankRuehl"/>
          <w:sz w:val="28"/>
          <w:szCs w:val="28"/>
          <w:rtl/>
        </w:rPr>
        <w:t>לטעון לקיום הצוואה וקבע, כי לפי סעיף 42(ג) לחוק הירושה, במידה והיורש השני נפטר לפני שעת זכייתו, הוראות הצוואה לטובתו מתבטלות – כפי שהי</w:t>
      </w:r>
      <w:r w:rsidR="007D3ADD">
        <w:rPr>
          <w:rFonts w:ascii="FrankRuehl" w:hAnsi="FrankRuehl" w:cs="FrankRuehl"/>
          <w:sz w:val="28"/>
          <w:szCs w:val="28"/>
          <w:rtl/>
        </w:rPr>
        <w:t>ה בעניין כאן, מקום בו מ</w:t>
      </w:r>
      <w:r w:rsidR="007D3ADD">
        <w:rPr>
          <w:rFonts w:ascii="FrankRuehl" w:hAnsi="FrankRuehl" w:cs="FrankRuehl" w:hint="cs"/>
          <w:sz w:val="28"/>
          <w:szCs w:val="28"/>
          <w:rtl/>
        </w:rPr>
        <w:t>.ש</w:t>
      </w:r>
      <w:r>
        <w:rPr>
          <w:rFonts w:ascii="FrankRuehl" w:hAnsi="FrankRuehl" w:cs="FrankRuehl"/>
          <w:sz w:val="28"/>
          <w:szCs w:val="28"/>
          <w:rtl/>
        </w:rPr>
        <w:t xml:space="preserve"> נפטר לפני מותם של המנוחים.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עוד ובבחינת למעלה מן הצורך, קבע בית המשפט, כי אף בהתאם ללשון ס</w:t>
      </w:r>
      <w:r w:rsidR="007D3ADD">
        <w:rPr>
          <w:rFonts w:ascii="FrankRuehl" w:hAnsi="FrankRuehl" w:cs="FrankRuehl"/>
          <w:sz w:val="28"/>
          <w:szCs w:val="28"/>
          <w:rtl/>
        </w:rPr>
        <w:t>עיף 5 לצוואה, חלקה של ר</w:t>
      </w:r>
      <w:r w:rsidR="007D3ADD">
        <w:rPr>
          <w:rFonts w:ascii="FrankRuehl" w:hAnsi="FrankRuehl" w:cs="FrankRuehl" w:hint="cs"/>
          <w:sz w:val="28"/>
          <w:szCs w:val="28"/>
          <w:rtl/>
        </w:rPr>
        <w:t>.ש</w:t>
      </w:r>
      <w:r>
        <w:rPr>
          <w:rFonts w:ascii="FrankRuehl" w:hAnsi="FrankRuehl" w:cs="FrankRuehl"/>
          <w:sz w:val="28"/>
          <w:szCs w:val="28"/>
          <w:rtl/>
        </w:rPr>
        <w:t xml:space="preserve"> עם מותה מועבר</w:t>
      </w:r>
      <w:r w:rsidR="007D3ADD">
        <w:rPr>
          <w:rFonts w:ascii="FrankRuehl" w:hAnsi="FrankRuehl" w:cs="FrankRuehl"/>
          <w:sz w:val="28"/>
          <w:szCs w:val="28"/>
          <w:rtl/>
        </w:rPr>
        <w:t xml:space="preserve"> במלואו לאחיה, ומשאחר ז</w:t>
      </w:r>
      <w:r w:rsidR="007D3ADD">
        <w:rPr>
          <w:rFonts w:ascii="FrankRuehl" w:hAnsi="FrankRuehl" w:cs="FrankRuehl" w:hint="cs"/>
          <w:sz w:val="28"/>
          <w:szCs w:val="28"/>
          <w:rtl/>
        </w:rPr>
        <w:t xml:space="preserve">.ש </w:t>
      </w:r>
      <w:r>
        <w:rPr>
          <w:rFonts w:ascii="FrankRuehl" w:hAnsi="FrankRuehl" w:cs="FrankRuehl"/>
          <w:sz w:val="28"/>
          <w:szCs w:val="28"/>
          <w:rtl/>
        </w:rPr>
        <w:t xml:space="preserve">ניתן צו לקיום צוואה, ומלוא עיזבונו הועבר לרעייתו, הרי שעם מותה חלקה (היינו העיזבון במלואו), מועבר לאחיה.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ובאשר לתחולת סעיף 41 לחוק הירושה, קבע בית המשפט שאף הוא אינו חל שכן ככל ש</w:t>
      </w:r>
      <w:r w:rsidR="007D3ADD">
        <w:rPr>
          <w:rFonts w:ascii="FrankRuehl" w:hAnsi="FrankRuehl" w:cs="FrankRuehl" w:hint="cs"/>
          <w:sz w:val="28"/>
          <w:szCs w:val="28"/>
          <w:rtl/>
        </w:rPr>
        <w:t>-</w:t>
      </w:r>
      <w:r>
        <w:rPr>
          <w:rFonts w:ascii="FrankRuehl" w:hAnsi="FrankRuehl" w:cs="FrankRuehl"/>
          <w:sz w:val="28"/>
          <w:szCs w:val="28"/>
          <w:rtl/>
        </w:rPr>
        <w:t>ז</w:t>
      </w:r>
      <w:r w:rsidR="007D3ADD">
        <w:rPr>
          <w:rFonts w:ascii="FrankRuehl" w:hAnsi="FrankRuehl" w:cs="FrankRuehl" w:hint="cs"/>
          <w:sz w:val="28"/>
          <w:szCs w:val="28"/>
          <w:rtl/>
        </w:rPr>
        <w:t>.ש</w:t>
      </w:r>
      <w:r>
        <w:rPr>
          <w:rFonts w:ascii="FrankRuehl" w:hAnsi="FrankRuehl" w:cs="FrankRuehl"/>
          <w:sz w:val="28"/>
          <w:szCs w:val="28"/>
          <w:rtl/>
        </w:rPr>
        <w:t xml:space="preserve"> היה המצווה, הרי שציווה את רכושו למנוחה שזכתה בעיזבונו וסעיף 41 לחוק הירושה אינו רלוונטי. וככל שהמנוחה היא המצווה, הרי שלפי סעיף 5 לצוואה נקבע מפורשות כי אחיה הוא הזוכה בעיזבונה. ומשקבע בית המשפט כי סעיף 41 לחוק הירושה אינו חל, ממילא אין תחולה אף לסעיף 49 לחוק הירושה. </w:t>
      </w:r>
    </w:p>
    <w:p w:rsidR="00960807" w:rsidRDefault="00960807" w:rsidP="00960807">
      <w:pPr>
        <w:pStyle w:val="ad"/>
        <w:rPr>
          <w:rFonts w:ascii="FrankRuehl" w:hAnsi="FrankRuehl" w:cs="FrankRuehl"/>
          <w:sz w:val="28"/>
          <w:szCs w:val="28"/>
          <w:rtl/>
        </w:rPr>
      </w:pPr>
    </w:p>
    <w:p w:rsidR="00960807" w:rsidRDefault="00960807" w:rsidP="00960807">
      <w:pPr>
        <w:spacing w:line="360" w:lineRule="auto"/>
        <w:jc w:val="both"/>
        <w:rPr>
          <w:rFonts w:ascii="Miriam" w:hAnsi="Miriam" w:cs="Miriam"/>
          <w:rtl/>
        </w:rPr>
      </w:pPr>
      <w:r>
        <w:rPr>
          <w:rFonts w:ascii="Miriam" w:hAnsi="Miriam" w:cs="Miriam"/>
          <w:rtl/>
        </w:rPr>
        <w:t>תמצית טענות הצדדים בערעור</w:t>
      </w:r>
    </w:p>
    <w:p w:rsidR="00960807" w:rsidRDefault="00960807" w:rsidP="00960807">
      <w:pPr>
        <w:spacing w:line="360" w:lineRule="auto"/>
        <w:jc w:val="both"/>
        <w:rPr>
          <w:rFonts w:ascii="Miriam" w:hAnsi="Miriam" w:cs="Miriam"/>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המערערים חזרו על טענתם לפיה, הוראת סעיף 5 לצוואה הינה הוראה פשוטה, בה רצו המנוחים כי שני אחיהם (ובמות אחיו של המנוח, ילדיו), יזכו בנתח מרכושם, ולא יעלה על הדעת כי ביקשו לנסח "צוואת רולטה" בה לא ידוע מי יקבל את רכושם לאחר מותם.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כן טענו המערערים כי שגה בית המשפט משבחר לאמץ את פרשנותו הקיצונית של המשיב, לפיה, המנוחים טרחו לפנות לעורך דין על מנת להבטיח אירוע נדיר, שבו ילכו שניהם לבית עולמם בעת ובעונה אחת ולא התייחסו למקרה התדיר, שבו הולכים בני זוג לבית עולמם במועדים שונים.</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lastRenderedPageBreak/>
        <w:t xml:space="preserve">המערערים חזרו וטענו כי לשון הצוואה אינה ברורה וכי שגה בית המשפט בקבעו כך. המערערים טענו כי לשון המילה "יחדיו" אינה "באותה העת" אלא, שנינו יחד. כי שגה בית המשפט כאשר העניק משקל למילה "אם" מקום בו מדובר במילת תנאי פשוטה ולא ניתן לייחס לשימוש בה כוונה לאירוע נדיר. כי שגה בית המשפט בקבעו כי הביטוי "חס וחלילה" מצביע על אירוע טראגי בו הולכים שני בני הזוג לעולמם בעת ובעונה אחת, שכן הביטוי חס וחלילה מופיע במגוון רחב של תיאורים וסיטואציות. כן טענו המערערים, כי בית המשפט הינו בעל ניסיון רב ומשכך, ידוע לו, כי נוסח צוואה תלוי בנוסח המצוי במחשבו של עורך הדין עורך הצוואה, אותו ירש אף הוא מהמאמן שלו.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עוד טענו המערערים, ששגה בית המשפט משלא נתן משקל לעובדה כי פרשנותו למונח "חס וחלילה" נסתרת מסעיף 4 לצוואה שם התייחסו המנוחים למקרה הרגיל, בו תלך לעולמה אם המנוח לפניו. ועוד היה על בית המשפט ליתן משקל לעובדה, כי בסעיף 4 לצוואה צוין מפורשות, כי כאשר ביקש המנוח להתייחס למוות בעת ובעונה אחת, כתב כי "אם חס וחלילה אמי...תלך לעולמה לפני או ביחד עמי". היינו, "יחד עמי" ולא "יחדיו" – הוא המונח בו עשו שימוש המנוחים למוות בעת ובעונה אחת.</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כן נטען, כי שגה בית המשפט משלא התייחס לאמור בסעיפים 7 ו-8, ולפיו, התייחסו המנוחים ל"נהנים", היינו, יותר מנהנה אחד, קביעה הנשללת מפרשנות בית המשפט.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עוד טענו המערערים, כי קביעתו של בית המשפט לפיה חשוב היה למערערים לדאוג רק זה לזו נשללת מהעובדה, כי המנוחים בחרו להפקיד את הצוואה 18 שנים לאחר עריכתה, שכן הם עצמם בוודאי ידעו מה תוכנה ובאם דאגו רק זה לזו לא היה כל צורך בהפקדתה. </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עוד טענו המערערים כי מקום בו לשון הצוואה אינה ברורה, שגה בית המשפט קמא משלא נתן משקל מכריע לראיות הקריטיות שהובאו על ידי המערערים; תצהיריו של עו"ד מרגלית והקלטות המנוחה. המערערים טוענים כי ההקלטה הראשונה, בה שומעים בקולה של המנוחה, כי רצון הצדדים הייתה חלוקה שוויונית של העיזבון בין שני אחיהם הינה "ראיית זהב" ובית המשפט שגה משקבע, כי נשמע כאילו </w:t>
      </w:r>
      <w:r w:rsidR="007D3ADD">
        <w:rPr>
          <w:rFonts w:ascii="FrankRuehl" w:hAnsi="FrankRuehl" w:cs="FrankRuehl" w:hint="cs"/>
          <w:sz w:val="28"/>
          <w:szCs w:val="28"/>
          <w:rtl/>
        </w:rPr>
        <w:t>מ.ש</w:t>
      </w:r>
      <w:r>
        <w:rPr>
          <w:rFonts w:ascii="FrankRuehl" w:hAnsi="FrankRuehl" w:cs="FrankRuehl"/>
          <w:sz w:val="28"/>
          <w:szCs w:val="28"/>
          <w:rtl/>
        </w:rPr>
        <w:t xml:space="preserve"> "מושך" את המנוחה בלשונה, ולא פירט קביעתו זו, שגה משקבע כי לא ברור האם הכוונה בדברי המנוחה לחלוקה אחרי מות </w:t>
      </w:r>
      <w:r>
        <w:rPr>
          <w:rFonts w:ascii="FrankRuehl" w:hAnsi="FrankRuehl" w:cs="FrankRuehl"/>
          <w:sz w:val="28"/>
          <w:szCs w:val="28"/>
          <w:rtl/>
        </w:rPr>
        <w:lastRenderedPageBreak/>
        <w:t>שניהם יחדיו או זה אחר זה, ושגה משקבע כי לא עולה תמונה ברורה באשר לכוונת המנוחה, מקום בו הכוונה הברורה עולה על פניה.</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המערערים טוענים כי שגה בית המשפט כשנתן משקל להקלטה השנייה דווקא, שהוקלטה לאחר שהמנוחה הייתה מעורערת קוגניטיבית ולאחר שכבר מונה לה אפוטרופוס.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עוד טוענים המערערים, כי שגה בית המשפט כשלא העניק משקל לתצהיריו של עו"ד מרגלית. בית המשפט שגה בכך שלא נתן משקל לעובדה שעדותו לא נשמעה נוכח מחדלו של בית המשפט עצמו (שכן דחיית עדותו הביאה לכך כי במועד הנדחה לא ניתן היה לשמוע עדותו בשל ההידרדרות במצבו). כן טוענים הם, כי בניגוד לקביעת בית המשפט, יש חשיבות מכרעת לכוונתו של עורך הדין, שכן הוא שומע את דברי המצווים ועורך את הצוואה בלשונו על פי הבנתו, קל וחומר כאן, שכן עו"ד מרגלית היה חבר של המנוחים והכירם היטב. עוד טוענים המערערים כי אין כל שינוי בגרסאותיו של עו"ד מרגלית.</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כן טוענים המערערים כי שגה בית המשפט בהתעלמו מהקשרים המשפחתיים הקרובים בין המנוחים </w:t>
      </w:r>
      <w:r w:rsidR="007D3ADD">
        <w:rPr>
          <w:rFonts w:ascii="FrankRuehl" w:hAnsi="FrankRuehl" w:cs="FrankRuehl" w:hint="cs"/>
          <w:sz w:val="28"/>
          <w:szCs w:val="28"/>
          <w:rtl/>
        </w:rPr>
        <w:t>למערערים</w:t>
      </w:r>
      <w:r>
        <w:rPr>
          <w:rFonts w:ascii="FrankRuehl" w:hAnsi="FrankRuehl" w:cs="FrankRuehl"/>
          <w:sz w:val="28"/>
          <w:szCs w:val="28"/>
          <w:rtl/>
        </w:rPr>
        <w:t xml:space="preserve">, שהיו כל משפחתם של המנוחים, אל מול הקשר הרדוד של המנוחים עם המשיב.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עוד נטען, כי שגה בית המשפט בניתוח המשפטי, שכן מדובר במקרה ברור של "יורש במקום יורש". כי מקור הקושי הינו בעובדה שמדובר בצוואה הדדית אחת ולא שני מסמכים הנערכים לכל מצווה בנפרד. אך משכך נערכה הצוואה, יש ליתן לה את הפרשנות המתבקשת והיא, כי לאחר מות האחד יורש האחר את מלוא רכושו ולאחר מות השני, מחולק העיזבון בין שני היורשים ולא הפרשנות הבלתי הגיונית שנתן בית המשפט לצוואה, ולפיה, מלוא הרכוש, מועבר, לאח שבאופן אקראי אחיו נותר אחרון.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המשיב סומך ידיו על פסק דינו של בית המשפט קמא.</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לטענת המשיב יש לדחות את הערעור על הסף לאור הוראת סעיף 49 לחוק הירושה; כי מקום בו עסקינן בצוואה הדדית, לאחר פטירת בן הזוג הראשון, מלוא העיזבון עובר לבן הזוג שנותר </w:t>
      </w:r>
      <w:r>
        <w:rPr>
          <w:rFonts w:ascii="FrankRuehl" w:hAnsi="FrankRuehl" w:cs="FrankRuehl"/>
          <w:sz w:val="28"/>
          <w:szCs w:val="28"/>
          <w:rtl/>
        </w:rPr>
        <w:lastRenderedPageBreak/>
        <w:t>בחיים, ההסדר בצוו</w:t>
      </w:r>
      <w:r w:rsidR="007D3ADD">
        <w:rPr>
          <w:rFonts w:ascii="FrankRuehl" w:hAnsi="FrankRuehl" w:cs="FrankRuehl"/>
          <w:sz w:val="28"/>
          <w:szCs w:val="28"/>
          <w:rtl/>
        </w:rPr>
        <w:t>אה מוצה ו</w:t>
      </w:r>
      <w:r w:rsidR="007D3ADD">
        <w:rPr>
          <w:rFonts w:ascii="FrankRuehl" w:hAnsi="FrankRuehl" w:cs="FrankRuehl" w:hint="cs"/>
          <w:sz w:val="28"/>
          <w:szCs w:val="28"/>
          <w:rtl/>
        </w:rPr>
        <w:t>המנוחה</w:t>
      </w:r>
      <w:r>
        <w:rPr>
          <w:rFonts w:ascii="FrankRuehl" w:hAnsi="FrankRuehl" w:cs="FrankRuehl"/>
          <w:sz w:val="28"/>
          <w:szCs w:val="28"/>
          <w:rtl/>
        </w:rPr>
        <w:t xml:space="preserve"> רשאית היתה להוריש את עיזבונה כהבנתה, ומשלא קבעה דבר, כדין קבע בית המשפט כי יורשה על פי דין הוא אחיה, המשיב.</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לטענת המשיב היה מקום לדחות על הסף את הערעור, אף מכוח הוראת סעיף 42 לחוק הירושה; כי תנאי </w:t>
      </w:r>
      <w:r w:rsidR="007D3ADD">
        <w:rPr>
          <w:rFonts w:ascii="FrankRuehl" w:hAnsi="FrankRuehl" w:cs="FrankRuehl"/>
          <w:sz w:val="28"/>
          <w:szCs w:val="28"/>
          <w:rtl/>
        </w:rPr>
        <w:t>מקדמי לתחולת סעיף 49 הוא כי מ</w:t>
      </w:r>
      <w:r w:rsidR="007D3ADD">
        <w:rPr>
          <w:rFonts w:ascii="FrankRuehl" w:hAnsi="FrankRuehl" w:cs="FrankRuehl" w:hint="cs"/>
          <w:sz w:val="28"/>
          <w:szCs w:val="28"/>
          <w:rtl/>
        </w:rPr>
        <w:t>'</w:t>
      </w:r>
      <w:r>
        <w:rPr>
          <w:rFonts w:ascii="FrankRuehl" w:hAnsi="FrankRuehl" w:cs="FrankRuehl"/>
          <w:sz w:val="28"/>
          <w:szCs w:val="28"/>
          <w:rtl/>
        </w:rPr>
        <w:t>, אביהם של המערערים</w:t>
      </w:r>
      <w:r w:rsidR="007D3ADD">
        <w:rPr>
          <w:rFonts w:ascii="FrankRuehl" w:hAnsi="FrankRuehl" w:cs="FrankRuehl" w:hint="cs"/>
          <w:sz w:val="28"/>
          <w:szCs w:val="28"/>
          <w:rtl/>
        </w:rPr>
        <w:t>,</w:t>
      </w:r>
      <w:r>
        <w:rPr>
          <w:rFonts w:ascii="FrankRuehl" w:hAnsi="FrankRuehl" w:cs="FrankRuehl"/>
          <w:sz w:val="28"/>
          <w:szCs w:val="28"/>
          <w:rtl/>
        </w:rPr>
        <w:t xml:space="preserve"> יהיה "זוכה על פי צוואה", אלא שהוא כלל לא הגיע למעמד "זוכה", שכן הוא נפטר טרם מותם של המנוחים.</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כי מקום בו המערערים לא הסתייגו מצו קיום הצוואה של המנוח וכלל הרכוש הועבר למנוחה ומקום בו עסקינן בעיזבונה בלבד, אין בסיס לטענות המערערים.</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למעלה מן ה</w:t>
      </w:r>
      <w:r w:rsidR="007D3ADD">
        <w:rPr>
          <w:rFonts w:ascii="FrankRuehl" w:hAnsi="FrankRuehl" w:cs="FrankRuehl"/>
          <w:sz w:val="28"/>
          <w:szCs w:val="28"/>
          <w:rtl/>
        </w:rPr>
        <w:t xml:space="preserve">צורך טען המשיב אף לטענות </w:t>
      </w:r>
      <w:r w:rsidR="007D3ADD">
        <w:rPr>
          <w:rFonts w:ascii="FrankRuehl" w:hAnsi="FrankRuehl" w:cs="FrankRuehl" w:hint="cs"/>
          <w:sz w:val="28"/>
          <w:szCs w:val="28"/>
          <w:rtl/>
        </w:rPr>
        <w:t>ג</w:t>
      </w:r>
      <w:r>
        <w:rPr>
          <w:rFonts w:ascii="FrankRuehl" w:hAnsi="FrankRuehl" w:cs="FrankRuehl"/>
          <w:sz w:val="28"/>
          <w:szCs w:val="28"/>
          <w:rtl/>
        </w:rPr>
        <w:t xml:space="preserve">ופן; לטענתו, במכוון לא הובא עו"ד מרגלית לעדות, כי המשיב הוא שביקש לשמוע את עדותו בדחיפות והמערערים הם שהתנגדו להקדמת עדותו. בפנינו אף הפנתה באת כוח המשיב לטיעוניה בפני בית המשפט קמא, לאי סדרים בהתנהלותו של עו"ד מרגלית בשלם ביקשו המערערים, ככל הנראה, שלא להעידו.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המערערים טוענים כי לא ניתן לקבוע ממצאים על יסוד תצהיריו של עו"ד מרגלית, הן נוכח העובדה, כי לא העיד בפני בית המשפט ולא נחקר נגדית, והן לאור הסתירות עליהן עמד בית המשפט ועליהן סומך המשיב ידיו.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אף בהתייחס לטענת המערערים לפיה לא יכולה להתקבל עמדת המשיב בדבר "צוואת רולטה" טען המשיב, כי נפסק כבר, כי פרשנות צוואה אינה נבחנת לאור מבחנים סובייקטיביים אלא לאור לשונה ונוסחה ואף הפנה לצוואתם ההדדית של הורי המערערים ממנה עולה כי אף בה צוין "במידה ושנינו נמות חו"ח אותה שעה".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עוד טוען המשיב, כי אין בסיס לטענת המערערים כי המילה "יחדיו" נרדפת למילה "שנינו", וכי כדין קבע בית המשפט קמא כי המילים חס וחלילה מתייחסות לאירוע אסון או טרגדיה ומשכך מופיעות רק בסעיפים 4 ו-5 לצוואה מקום בו מתייחסים המנוחים לאפשרות של מוות בעת ובעונה אחת, בעוד שבסעיף 2, כאשר מתייחסים למוות טבעי, אחד אחרי השני, אין שימוש בצמד המילים חס וחלילה.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lastRenderedPageBreak/>
        <w:t>המשיב טוען שאין לשעות לטענה לפיה, נוסח הצוואה מבוססת על הנוסח הקיים במחשבו של עורך הדין. וכן טען, כי השימוש במילה "נהנים" בסעיפים 7 ו-8 על קיומם של מספר יורשים פוטנציאליים ולא על מספר יורשים שחולקים את העיזבון.</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לאור כל אלה טען המשיב</w:t>
      </w:r>
      <w:r w:rsidR="007D3ADD">
        <w:rPr>
          <w:rFonts w:ascii="FrankRuehl" w:hAnsi="FrankRuehl" w:cs="FrankRuehl" w:hint="cs"/>
          <w:sz w:val="28"/>
          <w:szCs w:val="28"/>
          <w:rtl/>
        </w:rPr>
        <w:t>,</w:t>
      </w:r>
      <w:r>
        <w:rPr>
          <w:rFonts w:ascii="FrankRuehl" w:hAnsi="FrankRuehl" w:cs="FrankRuehl"/>
          <w:sz w:val="28"/>
          <w:szCs w:val="28"/>
          <w:rtl/>
        </w:rPr>
        <w:t xml:space="preserve"> כי כדין התבסס בית המשפט קמא על לשון הצוואה וקבע כי היא ברורה. המשיב הוסיף וטען בנוגע לראיות החיצוניות, כי כדין קבע בית המשפט כי לא ניתן להתבסס על הקלטת הראשונה, שניכר בה כי בוצעה במסגרת השיחה "חקירת שתי וערב" למנוחה, וכי יש בהקלטה אינדיקציה לכך כי המערער סבר שלשון הצוואה אינה ברורה (שאחרת לא זקוק היה לאותן הקלטות). בכל הנוגע להקלטה השנייה, טען המשיב, כי עצם העובדה שהופעל ייפוי הכוח המתמשך</w:t>
      </w:r>
      <w:r w:rsidR="007D3ADD">
        <w:rPr>
          <w:rFonts w:ascii="FrankRuehl" w:hAnsi="FrankRuehl" w:cs="FrankRuehl" w:hint="cs"/>
          <w:sz w:val="28"/>
          <w:szCs w:val="28"/>
          <w:rtl/>
        </w:rPr>
        <w:t>,</w:t>
      </w:r>
      <w:r>
        <w:rPr>
          <w:rFonts w:ascii="FrankRuehl" w:hAnsi="FrankRuehl" w:cs="FrankRuehl"/>
          <w:sz w:val="28"/>
          <w:szCs w:val="28"/>
          <w:rtl/>
        </w:rPr>
        <w:t xml:space="preserve"> אין בה די בכדי לשלול את כשירותו המשפטית של אדם (סעיף 32 כ לחוק הכשרות המשפטית והאפוטרופסות), וכי ניתן לשמוע בהקלטה  שהמנוחה הייתה צלולה והביעה את רצונה באופן נהיר וברור, וכי מדבריה עלה כי לא הייתה בצוואה הוראה מה ייעשה ברכוש לאחר מותה.       </w:t>
      </w:r>
    </w:p>
    <w:p w:rsidR="00960807" w:rsidRDefault="00960807" w:rsidP="00960807">
      <w:pPr>
        <w:spacing w:line="360" w:lineRule="auto"/>
        <w:jc w:val="both"/>
        <w:rPr>
          <w:rFonts w:ascii="FrankRuehl" w:hAnsi="FrankRuehl" w:cs="FrankRuehl"/>
          <w:sz w:val="28"/>
          <w:szCs w:val="28"/>
        </w:rPr>
      </w:pPr>
    </w:p>
    <w:p w:rsidR="00960807" w:rsidRDefault="00960807" w:rsidP="00960807">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         </w:t>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t>****</w:t>
      </w:r>
    </w:p>
    <w:p w:rsidR="00960807" w:rsidRDefault="00960807" w:rsidP="00960807">
      <w:pPr>
        <w:pStyle w:val="ad"/>
        <w:spacing w:line="360" w:lineRule="auto"/>
        <w:ind w:left="360"/>
        <w:jc w:val="both"/>
        <w:rPr>
          <w:rFonts w:ascii="Narkisim" w:hAnsi="Narkisim" w:cs="Narkisim"/>
          <w:sz w:val="28"/>
          <w:szCs w:val="28"/>
        </w:rPr>
      </w:pPr>
    </w:p>
    <w:p w:rsidR="00960807" w:rsidRDefault="00960807" w:rsidP="00960807">
      <w:pPr>
        <w:pStyle w:val="ad"/>
        <w:numPr>
          <w:ilvl w:val="0"/>
          <w:numId w:val="1"/>
        </w:numPr>
        <w:spacing w:line="360" w:lineRule="auto"/>
        <w:ind w:left="360" w:right="0"/>
        <w:jc w:val="both"/>
        <w:rPr>
          <w:rFonts w:ascii="Narkisim" w:hAnsi="Narkisim" w:cs="Narkisim"/>
          <w:sz w:val="28"/>
          <w:szCs w:val="28"/>
        </w:rPr>
      </w:pPr>
      <w:r>
        <w:rPr>
          <w:rFonts w:ascii="FrankRuehl" w:hAnsi="FrankRuehl" w:cs="FrankRuehl"/>
          <w:sz w:val="28"/>
          <w:szCs w:val="28"/>
          <w:rtl/>
        </w:rPr>
        <w:t>הארכנו בתיאור העובדות ופרטי פסק דינו של בית משפט קמא מתוך כך שאנו סבורות כי דין הערעור להידחות וכי יש לאמץ מסקנותיו של בית משפט קמא. נפרט להלן את נימוקינו.</w:t>
      </w:r>
      <w:r>
        <w:rPr>
          <w:rFonts w:ascii="Narkisim" w:hAnsi="Narkisim" w:cs="Narkisim"/>
          <w:sz w:val="28"/>
          <w:szCs w:val="28"/>
          <w:rtl/>
        </w:rPr>
        <w:t xml:space="preserve">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סבורות אנו, כפי שסבר בית המשפט קמא, כי לשון הצוואה ברורה; אף אנו נתנו משקל ללשון סעיף 5 לצוואה, אשר נפתח במילים "אם חס וחלילה, ניפטר מן העולם יחדיו...". באם תתקבל טענת המערערים, ולפיה, סעיף זה מתייחס לחלוקת העיזבון לאחר מות שניהם מוות טבעי, לא ברור השימוש במילים "אם חס וחלילה", שהרי מותם, באם הינו מוות טבעי, הינו אירוע וודאי, ומשכך לא ברור השימוש במילה "אם". ומשעניין לנו במוות טבעי, אף אין צורך במילים "חס וחלילה" כך למשל לא נעשה שימוש במילים הללו, במסגרת סעיף 2 המתייחס למותם הטבעי של המנוחים זו אחר זה.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lastRenderedPageBreak/>
        <w:t xml:space="preserve">העובדה כי סעיף 5 פותח במילים "אם חס וחלילה.." משמע כי מדובר בהתייחסות לאירוע שאינו וודאי, שיכול שלא יתרחש ואשר נלווה לו נופך של אסון. מילים אלו מתיישבות יותר עם עמדת המשיב לפיה מדובר במוות בעת ובעונה אחת, שאינו אירוע וודאי ומתרחש, בד"כ, במקרה של אסון או תאונה ועל כן, יש טעם אף בצמד המילים "חס וחלילה" בהתייחס אליו.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ואכן, פרשנות זו מתיישבת אף עם המילים המופיעות, אף הן, בסעיף 5, "ניפטר מן העולם יחדיו". המילה "יחדיו" מתייחסת </w:t>
      </w:r>
      <w:r>
        <w:rPr>
          <w:rFonts w:ascii="FrankRuehl" w:hAnsi="FrankRuehl" w:cs="FrankRuehl"/>
          <w:b/>
          <w:bCs/>
          <w:sz w:val="28"/>
          <w:szCs w:val="28"/>
          <w:rtl/>
        </w:rPr>
        <w:t>לפועל</w:t>
      </w:r>
      <w:r>
        <w:rPr>
          <w:rFonts w:ascii="FrankRuehl" w:hAnsi="FrankRuehl" w:cs="FrankRuehl"/>
          <w:sz w:val="28"/>
          <w:szCs w:val="28"/>
          <w:rtl/>
        </w:rPr>
        <w:t xml:space="preserve"> "ניפטר", היינו, </w:t>
      </w:r>
      <w:r>
        <w:rPr>
          <w:rFonts w:ascii="FrankRuehl" w:hAnsi="FrankRuehl" w:cs="FrankRuehl"/>
          <w:b/>
          <w:bCs/>
          <w:sz w:val="28"/>
          <w:szCs w:val="28"/>
          <w:rtl/>
        </w:rPr>
        <w:t>פעולת הפטירה</w:t>
      </w:r>
      <w:r>
        <w:rPr>
          <w:rFonts w:ascii="FrankRuehl" w:hAnsi="FrankRuehl" w:cs="FrankRuehl"/>
          <w:sz w:val="28"/>
          <w:szCs w:val="28"/>
          <w:rtl/>
        </w:rPr>
        <w:t xml:space="preserve">, ההפרדות מן העולם, </w:t>
      </w:r>
      <w:r>
        <w:rPr>
          <w:rFonts w:ascii="FrankRuehl" w:hAnsi="FrankRuehl" w:cs="FrankRuehl"/>
          <w:b/>
          <w:bCs/>
          <w:sz w:val="28"/>
          <w:szCs w:val="28"/>
          <w:rtl/>
        </w:rPr>
        <w:t>היא שתיעשה יחדיו</w:t>
      </w:r>
      <w:r>
        <w:rPr>
          <w:rFonts w:ascii="FrankRuehl" w:hAnsi="FrankRuehl" w:cs="FrankRuehl"/>
          <w:sz w:val="28"/>
          <w:szCs w:val="28"/>
          <w:rtl/>
        </w:rPr>
        <w:t>.</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המערערים הפנו לסעיף 4 לצוואה, שם מופיע צמד המלים "חס וחלילה", כתומך בגרסתם. לדידם, שימוש בצמד המלים במקרה בו אמו של המנוח תלך לבית עולמה לפניו, מצב נפוץ, מלמד כי צמד המלים 'חס-וחלילה', אינו מלמד על 'אסון'. ואולם, בהמשכו של המשפט שצוטט על ידם מנויה האפשרות כי המנוח ילך לבית עולמו יחד עם אמו, ומשכך, ניתן למצוא לשימוש בצמד המילים "חס וחלילה" בסעיף 4 תימוכין דווקא לעמדת המשיב, לפיה, השימוש בהן מתייחס למקרה הנדיר של מוות בעת ובעונה אחת שהינו נדיר ואכן יכול ללמד על אסון.</w:t>
      </w:r>
      <w:r>
        <w:rPr>
          <w:rFonts w:ascii="FrankRuehl" w:hAnsi="FrankRuehl" w:cs="FrankRuehl"/>
          <w:sz w:val="28"/>
          <w:szCs w:val="28"/>
        </w:rPr>
        <w:t xml:space="preserve"> </w:t>
      </w:r>
    </w:p>
    <w:p w:rsidR="00BE672D" w:rsidRPr="00BE672D" w:rsidRDefault="00BE672D" w:rsidP="00BE672D">
      <w:pPr>
        <w:pStyle w:val="ad"/>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יתרה מכך; קבלת עמדת המערערים מחייבת לבד מפרשנות של המילה "ניפטר יחדיו" גם שינוי של יתרת סעיף 5 לצוואה. ובמה דברים אמורים? נזכיר את לשון סעיף 5 שצוטט לעיל:</w:t>
      </w:r>
    </w:p>
    <w:p w:rsidR="00960807" w:rsidRDefault="00960807" w:rsidP="00960807">
      <w:pPr>
        <w:pStyle w:val="ad"/>
        <w:rPr>
          <w:rFonts w:ascii="FrankRuehl" w:hAnsi="FrankRuehl" w:cs="FrankRuehl"/>
          <w:sz w:val="28"/>
          <w:szCs w:val="28"/>
        </w:rPr>
      </w:pP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tl/>
        </w:rPr>
      </w:pPr>
      <w:r>
        <w:rPr>
          <w:rFonts w:ascii="FrankRuehl" w:hAnsi="FrankRuehl" w:cs="FrankRuehl"/>
          <w:sz w:val="28"/>
          <w:szCs w:val="28"/>
          <w:rtl/>
        </w:rPr>
        <w:t>"אם חס וחלילה, נפטר מן העולם יחדיו, אזי שאנו מצווים בזה כי חלקו של כל אחד מאיתנו יוקנה כדלקמן:</w:t>
      </w:r>
    </w:p>
    <w:p w:rsidR="00960807" w:rsidRDefault="00960807" w:rsidP="007D3ADD">
      <w:pPr>
        <w:shd w:val="clear" w:color="auto" w:fill="FFFFFF"/>
        <w:spacing w:before="150" w:line="360" w:lineRule="auto"/>
        <w:ind w:left="1076" w:right="851" w:hanging="283"/>
        <w:jc w:val="both"/>
        <w:rPr>
          <w:rFonts w:ascii="FrankRuehl" w:hAnsi="FrankRuehl" w:cs="FrankRuehl"/>
          <w:sz w:val="28"/>
          <w:szCs w:val="28"/>
          <w:rtl/>
        </w:rPr>
      </w:pPr>
      <w:r>
        <w:rPr>
          <w:rFonts w:ascii="FrankRuehl" w:hAnsi="FrankRuehl" w:cs="FrankRuehl"/>
          <w:sz w:val="28"/>
          <w:szCs w:val="28"/>
          <w:rtl/>
        </w:rPr>
        <w:t xml:space="preserve">חלקי, </w:t>
      </w:r>
      <w:r w:rsidR="007D3ADD">
        <w:rPr>
          <w:rFonts w:ascii="FrankRuehl" w:hAnsi="FrankRuehl" w:cs="FrankRuehl" w:hint="cs"/>
          <w:sz w:val="28"/>
          <w:szCs w:val="28"/>
          <w:rtl/>
        </w:rPr>
        <w:t>ז.ש</w:t>
      </w:r>
      <w:r>
        <w:rPr>
          <w:rFonts w:ascii="FrankRuehl" w:hAnsi="FrankRuehl" w:cs="FrankRuehl"/>
          <w:sz w:val="28"/>
          <w:szCs w:val="28"/>
          <w:rtl/>
        </w:rPr>
        <w:t xml:space="preserve">, יוקנה לאחי, </w:t>
      </w:r>
      <w:r w:rsidR="007D3ADD">
        <w:rPr>
          <w:rFonts w:ascii="FrankRuehl" w:hAnsi="FrankRuehl" w:cs="FrankRuehl" w:hint="cs"/>
          <w:sz w:val="28"/>
          <w:szCs w:val="28"/>
          <w:rtl/>
        </w:rPr>
        <w:t>מ.ש</w:t>
      </w:r>
      <w:r>
        <w:rPr>
          <w:rFonts w:ascii="FrankRuehl" w:hAnsi="FrankRuehl" w:cs="FrankRuehl"/>
          <w:sz w:val="28"/>
          <w:szCs w:val="28"/>
          <w:rtl/>
        </w:rPr>
        <w:t>, בעל ת.ז. ..... מרחוב ......</w:t>
      </w:r>
    </w:p>
    <w:p w:rsidR="00960807" w:rsidRDefault="00960807" w:rsidP="007D3ADD">
      <w:pPr>
        <w:shd w:val="clear" w:color="auto" w:fill="FFFFFF"/>
        <w:spacing w:before="150" w:line="360" w:lineRule="auto"/>
        <w:ind w:left="1076" w:right="851" w:hanging="283"/>
        <w:jc w:val="both"/>
        <w:rPr>
          <w:rFonts w:ascii="FrankRuehl" w:hAnsi="FrankRuehl" w:cs="FrankRuehl"/>
          <w:b/>
          <w:bCs/>
          <w:sz w:val="28"/>
          <w:szCs w:val="28"/>
          <w:rtl/>
        </w:rPr>
      </w:pPr>
      <w:r>
        <w:rPr>
          <w:rFonts w:ascii="FrankRuehl" w:hAnsi="FrankRuehl" w:cs="FrankRuehl"/>
          <w:sz w:val="28"/>
          <w:szCs w:val="28"/>
          <w:rtl/>
        </w:rPr>
        <w:t xml:space="preserve">חלקי, </w:t>
      </w:r>
      <w:r w:rsidR="007D3ADD">
        <w:rPr>
          <w:rFonts w:ascii="FrankRuehl" w:hAnsi="FrankRuehl" w:cs="FrankRuehl" w:hint="cs"/>
          <w:sz w:val="28"/>
          <w:szCs w:val="28"/>
          <w:rtl/>
        </w:rPr>
        <w:t>ר.ש</w:t>
      </w:r>
      <w:r>
        <w:rPr>
          <w:rFonts w:ascii="FrankRuehl" w:hAnsi="FrankRuehl" w:cs="FrankRuehl"/>
          <w:sz w:val="28"/>
          <w:szCs w:val="28"/>
          <w:rtl/>
        </w:rPr>
        <w:t xml:space="preserve">, יוקנה לאחי, </w:t>
      </w:r>
      <w:r w:rsidR="007D3ADD">
        <w:rPr>
          <w:rFonts w:ascii="FrankRuehl" w:hAnsi="FrankRuehl" w:cs="FrankRuehl" w:hint="cs"/>
          <w:sz w:val="28"/>
          <w:szCs w:val="28"/>
          <w:rtl/>
        </w:rPr>
        <w:t>ד.ש</w:t>
      </w:r>
      <w:r>
        <w:rPr>
          <w:rFonts w:ascii="FrankRuehl" w:hAnsi="FrankRuehl" w:cs="FrankRuehl"/>
          <w:sz w:val="28"/>
          <w:szCs w:val="28"/>
          <w:rtl/>
        </w:rPr>
        <w:t>, בעל ת.ז. ..... מרחוב ....</w:t>
      </w:r>
      <w:r>
        <w:rPr>
          <w:rFonts w:ascii="FrankRuehl" w:hAnsi="FrankRuehl" w:cs="FrankRuehl"/>
          <w:b/>
          <w:bCs/>
          <w:sz w:val="28"/>
          <w:szCs w:val="28"/>
          <w:rtl/>
        </w:rPr>
        <w:t>."</w:t>
      </w:r>
    </w:p>
    <w:p w:rsidR="00960807" w:rsidRDefault="00960807" w:rsidP="00960807">
      <w:pPr>
        <w:pStyle w:val="ad"/>
        <w:spacing w:line="360" w:lineRule="auto"/>
        <w:ind w:left="360"/>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במועד פטירתה של המנוחה חלקה היה העיזבון במלואו. משעל פי לשון סעיף 5 חלקה אמור להיות מוקנה לאחיה, הרי שקבלת עמדת המערערים מחייבת את שינוי המלל בחלק זה של </w:t>
      </w:r>
      <w:r>
        <w:rPr>
          <w:rFonts w:ascii="FrankRuehl" w:hAnsi="FrankRuehl" w:cs="FrankRuehl"/>
          <w:sz w:val="28"/>
          <w:szCs w:val="28"/>
          <w:rtl/>
        </w:rPr>
        <w:lastRenderedPageBreak/>
        <w:t xml:space="preserve">הצוואה, כך שמחצית מחלקה יועבר לאחיה, או לחילופין, כי חלקו של המנוח שהועבר אליה עם מותו "יושב" אליו ויועבר לאחיו וזאת על אף שקוימה צוואתו של המנוח ללא התנגדות. </w:t>
      </w:r>
    </w:p>
    <w:p w:rsidR="00960807" w:rsidRDefault="00960807" w:rsidP="00960807">
      <w:pPr>
        <w:pStyle w:val="ad"/>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color w:val="000000"/>
          <w:sz w:val="28"/>
          <w:szCs w:val="28"/>
          <w:rtl/>
        </w:rPr>
      </w:pPr>
      <w:r>
        <w:rPr>
          <w:rFonts w:ascii="FrankRuehl" w:hAnsi="FrankRuehl" w:cs="FrankRuehl"/>
          <w:sz w:val="28"/>
          <w:szCs w:val="28"/>
          <w:rtl/>
        </w:rPr>
        <w:t xml:space="preserve">משמצאנו כי לשון הצוואה תומכת בעמדת המשיב, אין צורך להיזקק לנסיבותיה החיצוניות של עריכת הצוואה, כפי שכדין קבע בית המשפט קמא (ע"א 239/89 </w:t>
      </w:r>
      <w:r>
        <w:rPr>
          <w:rFonts w:ascii="FrankRuehl" w:hAnsi="FrankRuehl" w:cs="FrankRuehl"/>
          <w:b/>
          <w:bCs/>
          <w:sz w:val="28"/>
          <w:szCs w:val="28"/>
          <w:rtl/>
        </w:rPr>
        <w:t>שורש נ' גלילי</w:t>
      </w:r>
      <w:r>
        <w:rPr>
          <w:rFonts w:ascii="FrankRuehl" w:hAnsi="FrankRuehl" w:cs="FrankRuehl"/>
          <w:sz w:val="28"/>
          <w:szCs w:val="28"/>
          <w:rtl/>
        </w:rPr>
        <w:t>, פ"ד מו(1) 861, 866 (1992),</w:t>
      </w:r>
      <w:r>
        <w:rPr>
          <w:rFonts w:ascii="FrankRuehl" w:hAnsi="FrankRuehl" w:cs="FrankRuehl"/>
          <w:color w:val="000000"/>
          <w:sz w:val="28"/>
          <w:szCs w:val="28"/>
          <w:shd w:val="clear" w:color="auto" w:fill="FFFFFF"/>
          <w:rtl/>
        </w:rPr>
        <w:t xml:space="preserve"> בע"מ 8300/11 </w:t>
      </w:r>
      <w:r>
        <w:rPr>
          <w:rFonts w:ascii="FrankRuehl" w:hAnsi="FrankRuehl" w:cs="FrankRuehl"/>
          <w:b/>
          <w:bCs/>
          <w:color w:val="000000"/>
          <w:sz w:val="28"/>
          <w:szCs w:val="28"/>
          <w:shd w:val="clear" w:color="auto" w:fill="FFFFFF"/>
          <w:rtl/>
        </w:rPr>
        <w:t>פלוני נ' פלונית</w:t>
      </w:r>
      <w:r>
        <w:rPr>
          <w:rFonts w:ascii="FrankRuehl" w:hAnsi="FrankRuehl" w:cs="FrankRuehl"/>
          <w:color w:val="000000"/>
          <w:sz w:val="28"/>
          <w:szCs w:val="28"/>
          <w:shd w:val="clear" w:color="auto" w:fill="FFFFFF"/>
          <w:rtl/>
        </w:rPr>
        <w:t xml:space="preserve"> (2.8.2012), </w:t>
      </w:r>
      <w:r>
        <w:rPr>
          <w:rFonts w:ascii="FrankRuehl" w:hAnsi="FrankRuehl" w:cs="FrankRuehl"/>
          <w:color w:val="000000"/>
          <w:sz w:val="28"/>
          <w:szCs w:val="28"/>
          <w:rtl/>
        </w:rPr>
        <w:t xml:space="preserve">וראו גם ע"א 7631/12 </w:t>
      </w:r>
      <w:r>
        <w:rPr>
          <w:rFonts w:ascii="FrankRuehl" w:hAnsi="FrankRuehl" w:cs="FrankRuehl"/>
          <w:b/>
          <w:bCs/>
          <w:color w:val="000000"/>
          <w:sz w:val="28"/>
          <w:szCs w:val="28"/>
          <w:rtl/>
        </w:rPr>
        <w:t>ישראל אמסטר נ' קרן קיימת לישראל</w:t>
      </w:r>
      <w:r>
        <w:rPr>
          <w:rFonts w:ascii="FrankRuehl" w:hAnsi="FrankRuehl" w:cs="FrankRuehl"/>
          <w:color w:val="000000"/>
          <w:sz w:val="28"/>
          <w:szCs w:val="28"/>
          <w:rtl/>
        </w:rPr>
        <w:t xml:space="preserve"> (12.8.2015) (פסקה 34 לפסק דינו של כבוד השופט דנציגר):</w:t>
      </w: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Pr>
      </w:pPr>
      <w:r>
        <w:rPr>
          <w:rFonts w:ascii="FrankRuehl" w:hAnsi="FrankRuehl" w:cs="FrankRuehl"/>
          <w:sz w:val="28"/>
          <w:szCs w:val="28"/>
          <w:rtl/>
        </w:rPr>
        <w:tab/>
        <w:t>"גישה זו מניחה כי בבואו של המצווה לנסח צוואה הוא שקל היטב את דבריו וניסח את כוונתו בזהירות ובקפידה, ומשכך על בית המשפט להיזהר מאד במלאכת הפרשנות, תוך מתן משקל ניכר ללשון הצוואה לעומת הנסיבות החיצוניות שסובבות את עריכתה. גישה זו מכירה באפשרות שבחלק גדול מהמקרים תנוסחנה צוואות בלשון ברורה שאינה משתמעת לשתי פנים, וקובעת כי במקרים אלו אין מקום לפנות לנסיבות החיצוניות שסובבות את עריכת הצוואה. זאת, מתוך הנחה כי צוואה המנוסחת בלשון ברורה עומדת בפני עצמה ולא נזקקת לתמיכה בראיות חיצוניות לשם איתור כוונתו של המצווה. גישה זו מחייבת את בית המשפט, כאמור, לגשת בזהירות גדולה למלאכת פרשנות צוואתו של המצווה, מתוך הנחה שהמצווה, בבואו להורות כיצד יחולק רכושו לאחר מותו, ערך את צוואתו לאחר התלבטות ומחשבה מעמיקים, ומשכך על בית המשפט להימנע מפרשנות שמתרחקת מהלשון הברורה ושעלולה הלכה למעשה להוביל לעריכה מחדש (ובדיעבד) של הצוואה."</w:t>
      </w:r>
    </w:p>
    <w:p w:rsidR="00960807" w:rsidRDefault="00960807" w:rsidP="00960807">
      <w:pPr>
        <w:pStyle w:val="ad"/>
        <w:spacing w:line="360" w:lineRule="auto"/>
        <w:ind w:left="360"/>
        <w:jc w:val="both"/>
        <w:rPr>
          <w:rFonts w:ascii="FrankRuehl" w:hAnsi="FrankRuehl" w:cs="FrankRuehl"/>
          <w:sz w:val="28"/>
          <w:szCs w:val="28"/>
          <w:rtl/>
        </w:rPr>
      </w:pPr>
      <w:r>
        <w:rPr>
          <w:rFonts w:ascii="FrankRuehl" w:hAnsi="FrankRuehl" w:cs="FrankRuehl"/>
          <w:sz w:val="28"/>
          <w:szCs w:val="28"/>
        </w:rPr>
        <w:t xml:space="preserve"> </w:t>
      </w: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אף למעלה מן הצורך, בבחינת הזקקות לנסיבות חיצוניות, אין בה בכדי לבסס את טענות המערערים. שתי ראיות חיצוניות בידיהם, תצהיריו של עורך הצוואה עו"ד מרגלית והקלטות המנוחה.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lastRenderedPageBreak/>
        <w:t xml:space="preserve">משעו"ד מרגלית לא נחקר על ידי המשיב, ובית המשפט לא יכול היה להתרשם ממהימנותו, קשה לקבל את עמדת המערערים כי יש ליתן משקל ממשי לתצהיריו. התקשינו אף לקבל את טענת המערערים, לפיה, יש ליתן משקל ממשי לתצהירים לאור העובדה כי הטעם לאי חקירתו נעוץ במחדלו של בית המשפט (סעיפים 25-27 לנימוקי הערעור). מבלי להתייחס לטענה לגופה (ונאמר רק, כי די בהתנגדות המערערים מיום 28.2.2021 לקיום ישיבת הוכחות בה יעיד עו"ד מרגלית, בכדי לכרסם באשם המלא שמטילים המערערים לפתחו של בית המשפט בשלו נמנעה עדותו), נאמר, כי לא מצאנו מקור משפטי לביסוס טענתם. </w:t>
      </w:r>
    </w:p>
    <w:p w:rsidR="00960807" w:rsidRDefault="00960807" w:rsidP="00960807">
      <w:pPr>
        <w:pStyle w:val="ad"/>
        <w:rPr>
          <w:rFonts w:ascii="FrankRuehl" w:hAnsi="FrankRuehl" w:cs="FrankRuehl"/>
          <w:sz w:val="28"/>
          <w:szCs w:val="28"/>
        </w:rPr>
      </w:pPr>
    </w:p>
    <w:p w:rsidR="00960807" w:rsidRPr="00BE672D"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כלל ידוע הוא כי הדרך שבה מנהל בעל דין את עניינו בבית המשפט הינה בעלת משמעות ראייתית, באופן דומה לראיה נסיבתית, וניתן להעניק משמעות ראייתית לאי הגשת </w:t>
      </w:r>
      <w:r w:rsidRPr="00BE672D">
        <w:rPr>
          <w:rFonts w:ascii="FrankRuehl" w:hAnsi="FrankRuehl" w:cs="FrankRuehl"/>
          <w:sz w:val="28"/>
          <w:szCs w:val="28"/>
          <w:rtl/>
        </w:rPr>
        <w:t>ראיה (</w:t>
      </w:r>
      <w:hyperlink r:id="rId8" w:history="1">
        <w:r w:rsidRPr="00BE672D">
          <w:rPr>
            <w:rStyle w:val="Hyperlink"/>
            <w:rFonts w:ascii="FrankRuehl" w:hAnsi="FrankRuehl" w:cs="FrankRuehl"/>
            <w:color w:val="auto"/>
            <w:sz w:val="28"/>
            <w:szCs w:val="28"/>
            <w:rtl/>
          </w:rPr>
          <w:t>ע"א 9656/05</w:t>
        </w:r>
      </w:hyperlink>
      <w:r w:rsidRPr="00BE672D">
        <w:rPr>
          <w:rFonts w:ascii="FrankRuehl" w:hAnsi="FrankRuehl" w:cs="FrankRuehl"/>
          <w:sz w:val="28"/>
          <w:szCs w:val="28"/>
          <w:rtl/>
        </w:rPr>
        <w:t xml:space="preserve"> </w:t>
      </w:r>
      <w:r w:rsidRPr="00BE672D">
        <w:rPr>
          <w:rFonts w:ascii="FrankRuehl" w:hAnsi="FrankRuehl" w:cs="FrankRuehl" w:hint="cs"/>
          <w:b/>
          <w:bCs/>
          <w:sz w:val="28"/>
          <w:szCs w:val="28"/>
          <w:rtl/>
        </w:rPr>
        <w:t>שוורץ נ' רמנוף חברה לסחר וציוד בניה בע"מ</w:t>
      </w:r>
      <w:r w:rsidRPr="00BE672D">
        <w:rPr>
          <w:rFonts w:ascii="FrankRuehl" w:hAnsi="FrankRuehl" w:cs="FrankRuehl" w:hint="cs"/>
          <w:sz w:val="28"/>
          <w:szCs w:val="28"/>
          <w:rtl/>
        </w:rPr>
        <w:t xml:space="preserve"> (2008) </w:t>
      </w:r>
      <w:hyperlink r:id="rId9" w:history="1">
        <w:r w:rsidRPr="00BE672D">
          <w:rPr>
            <w:rStyle w:val="Hyperlink"/>
            <w:rFonts w:ascii="FrankRuehl" w:hAnsi="FrankRuehl" w:cs="FrankRuehl"/>
            <w:color w:val="auto"/>
            <w:sz w:val="28"/>
            <w:szCs w:val="28"/>
            <w:rtl/>
          </w:rPr>
          <w:t xml:space="preserve">ע"א 55/89 </w:t>
        </w:r>
        <w:r w:rsidRPr="00BE672D">
          <w:rPr>
            <w:rStyle w:val="Hyperlink"/>
            <w:rFonts w:ascii="FrankRuehl" w:hAnsi="FrankRuehl" w:cs="FrankRuehl"/>
            <w:b/>
            <w:bCs/>
            <w:color w:val="auto"/>
            <w:sz w:val="28"/>
            <w:szCs w:val="28"/>
            <w:rtl/>
          </w:rPr>
          <w:t>קופל (נהיגה עצמית) בע"מ נ' טלקאר חברה בע"מ</w:t>
        </w:r>
        <w:r w:rsidRPr="00BE672D">
          <w:rPr>
            <w:rStyle w:val="Hyperlink"/>
            <w:rFonts w:ascii="FrankRuehl" w:hAnsi="FrankRuehl" w:cs="FrankRuehl"/>
            <w:color w:val="auto"/>
            <w:sz w:val="28"/>
            <w:szCs w:val="28"/>
            <w:rtl/>
          </w:rPr>
          <w:t>, פ"ד מד</w:t>
        </w:r>
      </w:hyperlink>
      <w:r w:rsidRPr="00BE672D">
        <w:rPr>
          <w:rFonts w:ascii="FrankRuehl" w:hAnsi="FrankRuehl" w:cs="FrankRuehl"/>
          <w:sz w:val="28"/>
          <w:szCs w:val="28"/>
          <w:rtl/>
        </w:rPr>
        <w:t xml:space="preserve"> (4) 595 (1990)), </w:t>
      </w:r>
      <w:hyperlink r:id="rId10" w:history="1">
        <w:r w:rsidRPr="00BE672D">
          <w:rPr>
            <w:rStyle w:val="Hyperlink"/>
            <w:rFonts w:ascii="FrankRuehl" w:hAnsi="FrankRuehl" w:cs="FrankRuehl"/>
            <w:color w:val="auto"/>
            <w:sz w:val="28"/>
            <w:szCs w:val="28"/>
            <w:rtl/>
          </w:rPr>
          <w:t xml:space="preserve">ע"א 2275/90 </w:t>
        </w:r>
        <w:r w:rsidRPr="00BE672D">
          <w:rPr>
            <w:rStyle w:val="Hyperlink"/>
            <w:rFonts w:ascii="FrankRuehl" w:hAnsi="FrankRuehl" w:cs="FrankRuehl"/>
            <w:b/>
            <w:bCs/>
            <w:color w:val="auto"/>
            <w:sz w:val="28"/>
            <w:szCs w:val="28"/>
            <w:rtl/>
          </w:rPr>
          <w:t>באמצעות בנין דור בע"מ נ' רוזנברג,</w:t>
        </w:r>
        <w:r w:rsidRPr="00BE672D">
          <w:rPr>
            <w:rStyle w:val="Hyperlink"/>
            <w:rFonts w:ascii="FrankRuehl" w:hAnsi="FrankRuehl" w:cs="FrankRuehl"/>
            <w:color w:val="auto"/>
            <w:sz w:val="28"/>
            <w:szCs w:val="28"/>
            <w:rtl/>
          </w:rPr>
          <w:t xml:space="preserve"> פ"ד מז</w:t>
        </w:r>
      </w:hyperlink>
      <w:r w:rsidRPr="00BE672D">
        <w:rPr>
          <w:rFonts w:ascii="FrankRuehl" w:hAnsi="FrankRuehl" w:cs="FrankRuehl"/>
          <w:sz w:val="28"/>
          <w:szCs w:val="28"/>
          <w:rtl/>
        </w:rPr>
        <w:t xml:space="preserve"> (2) 605, 614 (1993)).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ברם לא מצאנו בסיס משפטי לכלל ההפוך, לפיו, רצונו של צד להביא ראיה שבסופו של יום לא הובאה, בשל מחדל של אחר, מקים חזקה לפיה היה באותה הראיה בכדי לסייע לו או לחזק גרסתו (שהרי לא אחת, מביאים צדדים להליך ראיות מטעמם שאינן מסייעות להם בניגוד לציפיותיהם, ועדים, שחקירתם הנגדית מרוקנת מתוכן את עדותם הראשית בתצהיר).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משלא ניתן היה להתרשם מעדותו של עו"ד מרגלית, שכן הלה לא עמד לחקירה נגדית ואף בהינתן אותן סתירות עליהן הצביע בית המשפט קמא בפסק דינו, וטענות ב"כ הצדדים עצמם בנוגע לאי סדרים שונים בהתנהלותו, לא ניתן לייחס לתצהיריו משקל של ממש. </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לאמור בעניין זה יש להוסיף, כי הסתבר מראיות הצדדים בפני בית המשפט קמא, כי במועד מסוים לאחר הפעלת יפויי כוח מתמשך בעניינה של המנוחה (ובשלב שבו לטענת המערערים כבר לא היתה המנוחה כשירה), ניסה המערער להחתימה, יחד עם עו"ד מרגלית, על מסמכים שונים לרבות על גבי מסמך על החלק ('בלנקו') (עמ' 16 ועמ' 19 לפרוטוקול, חקירתו של </w:t>
      </w:r>
      <w:r w:rsidR="007D3ADD">
        <w:rPr>
          <w:rFonts w:ascii="FrankRuehl" w:hAnsi="FrankRuehl" w:cs="FrankRuehl" w:hint="cs"/>
          <w:sz w:val="28"/>
          <w:szCs w:val="28"/>
          <w:rtl/>
        </w:rPr>
        <w:t>מ.ש</w:t>
      </w:r>
      <w:r>
        <w:rPr>
          <w:rFonts w:ascii="FrankRuehl" w:hAnsi="FrankRuehl" w:cs="FrankRuehl"/>
          <w:sz w:val="28"/>
          <w:szCs w:val="28"/>
          <w:rtl/>
        </w:rPr>
        <w:t xml:space="preserve">). עובדה זו מעיבה על האפשרות ליתן אמון באובייקטיביות גרסתו של עו"ד מרגלית (ואף על תום לבו של המערער).  </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lastRenderedPageBreak/>
        <w:t xml:space="preserve">אף בהקלטות (שאחת מהן אף הושמעה לנו בדיון בחלקה), אין בכדי לבסס מסקנה שונה. בהקלטה הראשונה, שנערכה שלושה חודשים לאחר מותו של המנוח, ניכר כי דברי המנוחה לא נאמרים מיוזמתה אלא במענה לשאלות מפורשות של </w:t>
      </w:r>
      <w:r w:rsidR="007D3ADD">
        <w:rPr>
          <w:rFonts w:ascii="FrankRuehl" w:hAnsi="FrankRuehl" w:cs="FrankRuehl" w:hint="cs"/>
          <w:sz w:val="28"/>
          <w:szCs w:val="28"/>
          <w:rtl/>
        </w:rPr>
        <w:t>מ.ש</w:t>
      </w:r>
      <w:r>
        <w:rPr>
          <w:rFonts w:ascii="FrankRuehl" w:hAnsi="FrankRuehl" w:cs="FrankRuehl"/>
          <w:sz w:val="28"/>
          <w:szCs w:val="28"/>
          <w:rtl/>
        </w:rPr>
        <w:t xml:space="preserve"> (יצוין כי בהקלטה שהושמעה לנו במהלך הדיון, טרם שהשיבה </w:t>
      </w:r>
      <w:r w:rsidR="007D3ADD">
        <w:rPr>
          <w:rFonts w:ascii="FrankRuehl" w:hAnsi="FrankRuehl" w:cs="FrankRuehl" w:hint="cs"/>
          <w:sz w:val="28"/>
          <w:szCs w:val="28"/>
          <w:rtl/>
        </w:rPr>
        <w:t>המנוחה</w:t>
      </w:r>
      <w:r w:rsidR="007D3ADD">
        <w:rPr>
          <w:rFonts w:ascii="FrankRuehl" w:hAnsi="FrankRuehl" w:cs="FrankRuehl"/>
          <w:sz w:val="28"/>
          <w:szCs w:val="28"/>
          <w:rtl/>
        </w:rPr>
        <w:t xml:space="preserve"> לשאלת מ</w:t>
      </w:r>
      <w:r w:rsidR="007D3ADD">
        <w:rPr>
          <w:rFonts w:ascii="FrankRuehl" w:hAnsi="FrankRuehl" w:cs="FrankRuehl" w:hint="cs"/>
          <w:sz w:val="28"/>
          <w:szCs w:val="28"/>
          <w:rtl/>
        </w:rPr>
        <w:t>'</w:t>
      </w:r>
      <w:r w:rsidR="007D3ADD">
        <w:rPr>
          <w:rFonts w:ascii="FrankRuehl" w:hAnsi="FrankRuehl" w:cs="FrankRuehl"/>
          <w:sz w:val="28"/>
          <w:szCs w:val="28"/>
          <w:rtl/>
        </w:rPr>
        <w:t xml:space="preserve"> לגבי רצונו של ז</w:t>
      </w:r>
      <w:r w:rsidR="007D3ADD">
        <w:rPr>
          <w:rFonts w:ascii="FrankRuehl" w:hAnsi="FrankRuehl" w:cs="FrankRuehl" w:hint="cs"/>
          <w:sz w:val="28"/>
          <w:szCs w:val="28"/>
          <w:rtl/>
        </w:rPr>
        <w:t>'</w:t>
      </w:r>
      <w:r>
        <w:rPr>
          <w:rFonts w:ascii="FrankRuehl" w:hAnsi="FrankRuehl" w:cs="FrankRuehl"/>
          <w:sz w:val="28"/>
          <w:szCs w:val="28"/>
          <w:rtl/>
        </w:rPr>
        <w:t xml:space="preserve"> השתהתה מאוד בתשובתה) :</w:t>
      </w:r>
    </w:p>
    <w:p w:rsidR="00960807" w:rsidRDefault="00960807" w:rsidP="00960807">
      <w:pPr>
        <w:pStyle w:val="ad"/>
        <w:rPr>
          <w:rFonts w:ascii="FrankRuehl" w:hAnsi="FrankRuehl" w:cs="FrankRuehl"/>
          <w:sz w:val="28"/>
          <w:szCs w:val="28"/>
        </w:rPr>
      </w:pPr>
    </w:p>
    <w:p w:rsidR="00960807" w:rsidRDefault="00960807"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w:t>
      </w:r>
    </w:p>
    <w:p w:rsidR="00960807" w:rsidRDefault="007D3ADD" w:rsidP="00960807">
      <w:pPr>
        <w:pStyle w:val="ad"/>
        <w:spacing w:line="360" w:lineRule="auto"/>
        <w:jc w:val="both"/>
        <w:rPr>
          <w:rFonts w:ascii="FrankRuehl" w:hAnsi="FrankRuehl" w:cs="FrankRuehl"/>
          <w:b/>
          <w:bCs/>
          <w:sz w:val="28"/>
          <w:szCs w:val="28"/>
        </w:rPr>
      </w:pPr>
      <w:r>
        <w:rPr>
          <w:rFonts w:ascii="FrankRuehl" w:hAnsi="FrankRuehl" w:cs="FrankRuehl"/>
          <w:b/>
          <w:bCs/>
          <w:sz w:val="28"/>
          <w:szCs w:val="28"/>
          <w:rtl/>
        </w:rPr>
        <w:t>מ: "את חושבת שז</w:t>
      </w:r>
      <w:r>
        <w:rPr>
          <w:rFonts w:ascii="FrankRuehl" w:hAnsi="FrankRuehl" w:cs="FrankRuehl" w:hint="cs"/>
          <w:b/>
          <w:bCs/>
          <w:sz w:val="28"/>
          <w:szCs w:val="28"/>
          <w:rtl/>
        </w:rPr>
        <w:t>'</w:t>
      </w:r>
      <w:r>
        <w:rPr>
          <w:rFonts w:ascii="FrankRuehl" w:hAnsi="FrankRuehl" w:cs="FrankRuehl"/>
          <w:b/>
          <w:bCs/>
          <w:sz w:val="28"/>
          <w:szCs w:val="28"/>
          <w:rtl/>
        </w:rPr>
        <w:t xml:space="preserve"> רצה להשאיר לנו 50%, לי ולח</w:t>
      </w:r>
      <w:r>
        <w:rPr>
          <w:rFonts w:ascii="FrankRuehl" w:hAnsi="FrankRuehl" w:cs="FrankRuehl" w:hint="cs"/>
          <w:b/>
          <w:bCs/>
          <w:sz w:val="28"/>
          <w:szCs w:val="28"/>
          <w:rtl/>
        </w:rPr>
        <w:t>'</w:t>
      </w:r>
      <w:r>
        <w:rPr>
          <w:rFonts w:ascii="FrankRuehl" w:hAnsi="FrankRuehl" w:cs="FrankRuehl"/>
          <w:b/>
          <w:bCs/>
          <w:sz w:val="28"/>
          <w:szCs w:val="28"/>
          <w:rtl/>
        </w:rPr>
        <w:t xml:space="preserve"> או למ</w:t>
      </w:r>
      <w:r>
        <w:rPr>
          <w:rFonts w:ascii="FrankRuehl" w:hAnsi="FrankRuehl" w:cs="FrankRuehl" w:hint="cs"/>
          <w:b/>
          <w:bCs/>
          <w:sz w:val="28"/>
          <w:szCs w:val="28"/>
          <w:rtl/>
        </w:rPr>
        <w:t>'"</w:t>
      </w:r>
      <w:r w:rsidR="00960807">
        <w:rPr>
          <w:rFonts w:ascii="FrankRuehl" w:hAnsi="FrankRuehl" w:cs="FrankRuehl"/>
          <w:b/>
          <w:bCs/>
          <w:sz w:val="28"/>
          <w:szCs w:val="28"/>
          <w:rtl/>
        </w:rPr>
        <w:t>.</w:t>
      </w:r>
    </w:p>
    <w:p w:rsidR="00960807" w:rsidRDefault="007D3ADD"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xml:space="preserve">:  "לא, לא חשבנו אחרת". </w:t>
      </w:r>
    </w:p>
    <w:p w:rsidR="00960807" w:rsidRDefault="007D3ADD" w:rsidP="00960807">
      <w:pPr>
        <w:pStyle w:val="ad"/>
        <w:spacing w:line="360" w:lineRule="auto"/>
        <w:jc w:val="both"/>
        <w:rPr>
          <w:rFonts w:ascii="FrankRuehl" w:hAnsi="FrankRuehl" w:cs="FrankRuehl"/>
          <w:b/>
          <w:bCs/>
          <w:sz w:val="28"/>
          <w:szCs w:val="28"/>
        </w:rPr>
      </w:pPr>
      <w:r>
        <w:rPr>
          <w:rFonts w:ascii="FrankRuehl" w:hAnsi="FrankRuehl" w:cs="FrankRuehl"/>
          <w:b/>
          <w:bCs/>
          <w:sz w:val="28"/>
          <w:szCs w:val="28"/>
          <w:rtl/>
        </w:rPr>
        <w:t>מ</w:t>
      </w:r>
      <w:r w:rsidR="00960807">
        <w:rPr>
          <w:rFonts w:ascii="FrankRuehl" w:hAnsi="FrankRuehl" w:cs="FrankRuehl"/>
          <w:b/>
          <w:bCs/>
          <w:sz w:val="28"/>
          <w:szCs w:val="28"/>
          <w:rtl/>
        </w:rPr>
        <w:t xml:space="preserve">: "מה זאת אומרת. מה זה אומר. לא חשבתם שמה?" </w:t>
      </w:r>
    </w:p>
    <w:p w:rsidR="00960807" w:rsidRDefault="007D3ADD" w:rsidP="00960807">
      <w:pPr>
        <w:pStyle w:val="ad"/>
        <w:spacing w:line="360" w:lineRule="auto"/>
        <w:jc w:val="both"/>
        <w:rPr>
          <w:rFonts w:ascii="FrankRuehl" w:hAnsi="FrankRuehl" w:cs="FrankRuehl"/>
          <w:b/>
          <w:bCs/>
          <w:sz w:val="28"/>
          <w:szCs w:val="28"/>
        </w:rPr>
      </w:pPr>
      <w:r>
        <w:rPr>
          <w:rFonts w:ascii="FrankRuehl" w:hAnsi="FrankRuehl" w:cs="FrankRuehl"/>
          <w:b/>
          <w:bCs/>
          <w:sz w:val="28"/>
          <w:szCs w:val="28"/>
          <w:rtl/>
        </w:rPr>
        <w:t>ר</w:t>
      </w:r>
      <w:r w:rsidR="00960807">
        <w:rPr>
          <w:rFonts w:ascii="FrankRuehl" w:hAnsi="FrankRuehl" w:cs="FrankRuehl"/>
          <w:b/>
          <w:bCs/>
          <w:sz w:val="28"/>
          <w:szCs w:val="28"/>
          <w:rtl/>
        </w:rPr>
        <w:t>: ששני הצדדים מקבלים את ה-, מה שנשאר. חצי לזה וחצי לזה"...</w:t>
      </w:r>
    </w:p>
    <w:p w:rsidR="00960807" w:rsidRDefault="00960807"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w:t>
      </w:r>
    </w:p>
    <w:p w:rsidR="00960807" w:rsidRDefault="007D3ADD"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מ: זאת אומרת שזה מה שז</w:t>
      </w:r>
      <w:r>
        <w:rPr>
          <w:rFonts w:ascii="FrankRuehl" w:hAnsi="FrankRuehl" w:cs="FrankRuehl" w:hint="cs"/>
          <w:b/>
          <w:bCs/>
          <w:sz w:val="28"/>
          <w:szCs w:val="28"/>
          <w:rtl/>
        </w:rPr>
        <w:t>'</w:t>
      </w:r>
      <w:r w:rsidR="00960807">
        <w:rPr>
          <w:rFonts w:ascii="FrankRuehl" w:hAnsi="FrankRuehl" w:cs="FrankRuehl"/>
          <w:b/>
          <w:bCs/>
          <w:sz w:val="28"/>
          <w:szCs w:val="28"/>
          <w:rtl/>
        </w:rPr>
        <w:t xml:space="preserve"> היה רוצה?</w:t>
      </w:r>
    </w:p>
    <w:p w:rsidR="00960807" w:rsidRDefault="007D3ADD"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ר: הוא לא היה רוצה שאעדיף את ד</w:t>
      </w:r>
      <w:r>
        <w:rPr>
          <w:rFonts w:ascii="FrankRuehl" w:hAnsi="FrankRuehl" w:cs="FrankRuehl" w:hint="cs"/>
          <w:b/>
          <w:bCs/>
          <w:sz w:val="28"/>
          <w:szCs w:val="28"/>
          <w:rtl/>
        </w:rPr>
        <w:t>'</w:t>
      </w:r>
      <w:r w:rsidR="00960807">
        <w:rPr>
          <w:rFonts w:ascii="FrankRuehl" w:hAnsi="FrankRuehl" w:cs="FrankRuehl"/>
          <w:b/>
          <w:bCs/>
          <w:sz w:val="28"/>
          <w:szCs w:val="28"/>
          <w:rtl/>
        </w:rPr>
        <w:t>, זה היה אז הויכוח הגדול. ההתחלה של ה- שיחה. ואז כשבאנו איך קוראים לו, לעורך דין הזה,</w:t>
      </w:r>
    </w:p>
    <w:p w:rsidR="00960807" w:rsidRDefault="00960807"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w:t>
      </w:r>
    </w:p>
    <w:p w:rsidR="00960807" w:rsidRDefault="007D3ADD" w:rsidP="00960807">
      <w:pPr>
        <w:pStyle w:val="ad"/>
        <w:spacing w:line="360" w:lineRule="auto"/>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xml:space="preserve">: ממני הוא ביקש, הוא דרש, שיש שני </w:t>
      </w:r>
      <w:r>
        <w:rPr>
          <w:rFonts w:ascii="FrankRuehl" w:hAnsi="FrankRuehl" w:cs="FrankRuehl"/>
          <w:b/>
          <w:bCs/>
          <w:sz w:val="28"/>
          <w:szCs w:val="28"/>
          <w:rtl/>
        </w:rPr>
        <w:t>יורשים, דרש, אני לא אעדיף את ד</w:t>
      </w:r>
      <w:r>
        <w:rPr>
          <w:rFonts w:ascii="FrankRuehl" w:hAnsi="FrankRuehl" w:cs="FrankRuehl" w:hint="cs"/>
          <w:b/>
          <w:bCs/>
          <w:sz w:val="28"/>
          <w:szCs w:val="28"/>
          <w:rtl/>
        </w:rPr>
        <w:t>'</w:t>
      </w:r>
      <w:r w:rsidR="00960807">
        <w:rPr>
          <w:rFonts w:ascii="FrankRuehl" w:hAnsi="FrankRuehl" w:cs="FrankRuehl"/>
          <w:b/>
          <w:bCs/>
          <w:sz w:val="28"/>
          <w:szCs w:val="28"/>
          <w:rtl/>
        </w:rPr>
        <w:t xml:space="preserve">. </w:t>
      </w:r>
    </w:p>
    <w:p w:rsidR="00960807" w:rsidRDefault="00960807" w:rsidP="00960807">
      <w:pPr>
        <w:pStyle w:val="ad"/>
        <w:spacing w:line="360" w:lineRule="auto"/>
        <w:jc w:val="both"/>
        <w:rPr>
          <w:rFonts w:ascii="FrankRuehl" w:hAnsi="FrankRuehl" w:cs="FrankRuehl"/>
          <w:b/>
          <w:bCs/>
          <w:sz w:val="28"/>
          <w:szCs w:val="28"/>
          <w:rtl/>
        </w:rPr>
      </w:pPr>
    </w:p>
    <w:p w:rsidR="00960807" w:rsidRDefault="007D3ADD"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היינו, </w:t>
      </w:r>
      <w:r>
        <w:rPr>
          <w:rFonts w:ascii="FrankRuehl" w:hAnsi="FrankRuehl" w:cs="FrankRuehl" w:hint="cs"/>
          <w:sz w:val="28"/>
          <w:szCs w:val="28"/>
          <w:rtl/>
        </w:rPr>
        <w:t>המנוחה</w:t>
      </w:r>
      <w:r w:rsidR="00960807">
        <w:rPr>
          <w:rFonts w:ascii="FrankRuehl" w:hAnsi="FrankRuehl" w:cs="FrankRuehl"/>
          <w:sz w:val="28"/>
          <w:szCs w:val="28"/>
          <w:rtl/>
        </w:rPr>
        <w:t xml:space="preserve"> מתייחסת בדבריה למחלוקת שהייתה בינה לבין</w:t>
      </w:r>
      <w:r>
        <w:rPr>
          <w:rFonts w:ascii="FrankRuehl" w:hAnsi="FrankRuehl" w:cs="FrankRuehl"/>
          <w:sz w:val="28"/>
          <w:szCs w:val="28"/>
          <w:rtl/>
        </w:rPr>
        <w:t xml:space="preserve"> ז</w:t>
      </w:r>
      <w:r>
        <w:rPr>
          <w:rFonts w:ascii="FrankRuehl" w:hAnsi="FrankRuehl" w:cs="FrankRuehl" w:hint="cs"/>
          <w:sz w:val="28"/>
          <w:szCs w:val="28"/>
          <w:rtl/>
        </w:rPr>
        <w:t>'</w:t>
      </w:r>
      <w:r w:rsidR="00960807">
        <w:rPr>
          <w:rFonts w:ascii="FrankRuehl" w:hAnsi="FrankRuehl" w:cs="FrankRuehl"/>
          <w:sz w:val="28"/>
          <w:szCs w:val="28"/>
          <w:rtl/>
        </w:rPr>
        <w:t xml:space="preserve"> לגב</w:t>
      </w:r>
      <w:r>
        <w:rPr>
          <w:rFonts w:ascii="FrankRuehl" w:hAnsi="FrankRuehl" w:cs="FrankRuehl"/>
          <w:sz w:val="28"/>
          <w:szCs w:val="28"/>
          <w:rtl/>
        </w:rPr>
        <w:t>י אופן חלוקת הרכוש וציינה כי ז</w:t>
      </w:r>
      <w:r>
        <w:rPr>
          <w:rFonts w:ascii="FrankRuehl" w:hAnsi="FrankRuehl" w:cs="FrankRuehl" w:hint="cs"/>
          <w:sz w:val="28"/>
          <w:szCs w:val="28"/>
          <w:rtl/>
        </w:rPr>
        <w:t>'</w:t>
      </w:r>
      <w:r>
        <w:rPr>
          <w:rFonts w:ascii="FrankRuehl" w:hAnsi="FrankRuehl" w:cs="FrankRuehl"/>
          <w:sz w:val="28"/>
          <w:szCs w:val="28"/>
          <w:rtl/>
        </w:rPr>
        <w:t xml:space="preserve"> לא רצה שתעדיף את ד</w:t>
      </w:r>
      <w:r>
        <w:rPr>
          <w:rFonts w:ascii="FrankRuehl" w:hAnsi="FrankRuehl" w:cs="FrankRuehl" w:hint="cs"/>
          <w:sz w:val="28"/>
          <w:szCs w:val="28"/>
          <w:rtl/>
        </w:rPr>
        <w:t>'</w:t>
      </w:r>
      <w:r>
        <w:rPr>
          <w:rFonts w:ascii="FrankRuehl" w:hAnsi="FrankRuehl" w:cs="FrankRuehl"/>
          <w:sz w:val="28"/>
          <w:szCs w:val="28"/>
          <w:rtl/>
        </w:rPr>
        <w:t xml:space="preserve"> (המכונה על ידה – ד</w:t>
      </w:r>
      <w:r>
        <w:rPr>
          <w:rFonts w:ascii="FrankRuehl" w:hAnsi="FrankRuehl" w:cs="FrankRuehl" w:hint="cs"/>
          <w:sz w:val="28"/>
          <w:szCs w:val="28"/>
          <w:rtl/>
        </w:rPr>
        <w:t>'</w:t>
      </w:r>
      <w:r w:rsidR="00960807">
        <w:rPr>
          <w:rFonts w:ascii="FrankRuehl" w:hAnsi="FrankRuehl" w:cs="FrankRuehl"/>
          <w:sz w:val="28"/>
          <w:szCs w:val="28"/>
          <w:rtl/>
        </w:rPr>
        <w:t>), ודרש, שהיא לא תעדיף את אחיה. ואכן, לא בכדי קבע בית המשפט קמא כי ת</w:t>
      </w:r>
      <w:r>
        <w:rPr>
          <w:rFonts w:ascii="FrankRuehl" w:hAnsi="FrankRuehl" w:cs="FrankRuehl"/>
          <w:sz w:val="28"/>
          <w:szCs w:val="28"/>
          <w:rtl/>
        </w:rPr>
        <w:t>שובתה לא ברורה, שהרי, מה לו לז</w:t>
      </w:r>
      <w:r>
        <w:rPr>
          <w:rFonts w:ascii="FrankRuehl" w:hAnsi="FrankRuehl" w:cs="FrankRuehl" w:hint="cs"/>
          <w:sz w:val="28"/>
          <w:szCs w:val="28"/>
          <w:rtl/>
        </w:rPr>
        <w:t>'</w:t>
      </w:r>
      <w:r w:rsidR="00960807">
        <w:rPr>
          <w:rFonts w:ascii="FrankRuehl" w:hAnsi="FrankRuehl" w:cs="FrankRuehl"/>
          <w:sz w:val="28"/>
          <w:szCs w:val="28"/>
          <w:rtl/>
        </w:rPr>
        <w:t xml:space="preserve"> לדרוש הימנה לא להעדיף את אחיה מקום שבו (כך לגישת המערערים), הדבר הוסכם במסגרת הצוואה.  </w:t>
      </w:r>
    </w:p>
    <w:p w:rsidR="00960807" w:rsidRDefault="00960807" w:rsidP="00960807">
      <w:pPr>
        <w:pStyle w:val="ad"/>
        <w:spacing w:line="360" w:lineRule="auto"/>
        <w:jc w:val="both"/>
        <w:rPr>
          <w:rFonts w:ascii="FrankRuehl" w:hAnsi="FrankRuehl" w:cs="FrankRuehl"/>
          <w:b/>
          <w:bCs/>
          <w:sz w:val="28"/>
          <w:szCs w:val="28"/>
          <w:rtl/>
        </w:rPr>
      </w:pPr>
    </w:p>
    <w:p w:rsidR="00960807" w:rsidRDefault="007D3ADD" w:rsidP="007D3ADD">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במסגרת ההקלטה השנייה דבריה של </w:t>
      </w:r>
      <w:r>
        <w:rPr>
          <w:rFonts w:ascii="FrankRuehl" w:hAnsi="FrankRuehl" w:cs="FrankRuehl" w:hint="cs"/>
          <w:sz w:val="28"/>
          <w:szCs w:val="28"/>
          <w:rtl/>
        </w:rPr>
        <w:t>המנוחה</w:t>
      </w:r>
      <w:r w:rsidR="00960807">
        <w:rPr>
          <w:rFonts w:ascii="FrankRuehl" w:hAnsi="FrankRuehl" w:cs="FrankRuehl"/>
          <w:sz w:val="28"/>
          <w:szCs w:val="28"/>
          <w:rtl/>
        </w:rPr>
        <w:t xml:space="preserve"> עולים בקנה אחד עם לשון הצוואה; </w:t>
      </w:r>
    </w:p>
    <w:p w:rsidR="00960807" w:rsidRDefault="007D3ADD" w:rsidP="00960807">
      <w:pPr>
        <w:pStyle w:val="ad"/>
        <w:spacing w:line="360" w:lineRule="auto"/>
        <w:ind w:left="1076" w:right="426" w:hanging="141"/>
        <w:jc w:val="both"/>
        <w:rPr>
          <w:rFonts w:ascii="FrankRuehl" w:hAnsi="FrankRuehl" w:cs="FrankRuehl"/>
          <w:b/>
          <w:bCs/>
          <w:sz w:val="28"/>
          <w:szCs w:val="28"/>
        </w:rPr>
      </w:pPr>
      <w:r>
        <w:rPr>
          <w:rFonts w:ascii="FrankRuehl" w:hAnsi="FrankRuehl" w:cs="FrankRuehl"/>
          <w:b/>
          <w:bCs/>
          <w:sz w:val="28"/>
          <w:szCs w:val="28"/>
          <w:rtl/>
        </w:rPr>
        <w:t>"מ</w:t>
      </w:r>
      <w:r w:rsidR="00960807">
        <w:rPr>
          <w:rFonts w:ascii="FrankRuehl" w:hAnsi="FrankRuehl" w:cs="FrankRuehl"/>
          <w:b/>
          <w:bCs/>
          <w:sz w:val="28"/>
          <w:szCs w:val="28"/>
          <w:rtl/>
        </w:rPr>
        <w:t>: תגידי מה את רוצה, כל...אחד</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 אני אמרתי מה שאני רציתי, זה נגמר</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מ</w:t>
      </w:r>
      <w:r w:rsidR="00960807">
        <w:rPr>
          <w:rFonts w:ascii="FrankRuehl" w:hAnsi="FrankRuehl" w:cs="FrankRuehl"/>
          <w:b/>
          <w:bCs/>
          <w:sz w:val="28"/>
          <w:szCs w:val="28"/>
          <w:rtl/>
        </w:rPr>
        <w:t>: מה רצית?</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ר</w:t>
      </w:r>
      <w:r w:rsidR="00960807">
        <w:rPr>
          <w:rFonts w:ascii="FrankRuehl" w:hAnsi="FrankRuehl" w:cs="FrankRuehl"/>
          <w:b/>
          <w:bCs/>
          <w:sz w:val="28"/>
          <w:szCs w:val="28"/>
          <w:rtl/>
        </w:rPr>
        <w:t>: זהו.</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מ</w:t>
      </w:r>
      <w:r w:rsidR="00960807">
        <w:rPr>
          <w:rFonts w:ascii="FrankRuehl" w:hAnsi="FrankRuehl" w:cs="FrankRuehl"/>
          <w:b/>
          <w:bCs/>
          <w:sz w:val="28"/>
          <w:szCs w:val="28"/>
          <w:rtl/>
        </w:rPr>
        <w:t>: זהו מה?</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lastRenderedPageBreak/>
        <w:t>ר</w:t>
      </w:r>
      <w:r w:rsidR="00960807">
        <w:rPr>
          <w:rFonts w:ascii="FrankRuehl" w:hAnsi="FrankRuehl" w:cs="FrankRuehl"/>
          <w:b/>
          <w:bCs/>
          <w:sz w:val="28"/>
          <w:szCs w:val="28"/>
          <w:rtl/>
        </w:rPr>
        <w:t>: אני והוא וזהו.</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מ: את והוא זה מי? את וז</w:t>
      </w:r>
      <w:r>
        <w:rPr>
          <w:rFonts w:ascii="FrankRuehl" w:hAnsi="FrankRuehl" w:cs="FrankRuehl" w:hint="cs"/>
          <w:b/>
          <w:bCs/>
          <w:sz w:val="28"/>
          <w:szCs w:val="28"/>
          <w:rtl/>
        </w:rPr>
        <w:t>'</w:t>
      </w:r>
      <w:r w:rsidR="00960807">
        <w:rPr>
          <w:rFonts w:ascii="FrankRuehl" w:hAnsi="FrankRuehl" w:cs="FrankRuehl"/>
          <w:b/>
          <w:bCs/>
          <w:sz w:val="28"/>
          <w:szCs w:val="28"/>
          <w:rtl/>
        </w:rPr>
        <w:t>? הא?</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ר</w:t>
      </w:r>
      <w:r w:rsidR="00960807">
        <w:rPr>
          <w:rFonts w:ascii="FrankRuehl" w:hAnsi="FrankRuehl" w:cs="FrankRuehl"/>
          <w:b/>
          <w:bCs/>
          <w:sz w:val="28"/>
          <w:szCs w:val="28"/>
          <w:rtl/>
        </w:rPr>
        <w:t>: כן.</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אחרי שאתם הולכים לעולמכם?</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אין</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הא?</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אין לי מה להוסיף</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אוקי ומה הייתה כוונתכם? נו</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 מ</w:t>
      </w:r>
      <w:r>
        <w:rPr>
          <w:rFonts w:ascii="FrankRuehl" w:hAnsi="FrankRuehl" w:cs="FrankRuehl" w:hint="cs"/>
          <w:b/>
          <w:bCs/>
          <w:sz w:val="28"/>
          <w:szCs w:val="28"/>
          <w:rtl/>
        </w:rPr>
        <w:t>'</w:t>
      </w:r>
      <w:r w:rsidR="00960807">
        <w:rPr>
          <w:rFonts w:ascii="FrankRuehl" w:hAnsi="FrankRuehl" w:cs="FrankRuehl"/>
          <w:b/>
          <w:bCs/>
          <w:sz w:val="28"/>
          <w:szCs w:val="28"/>
          <w:rtl/>
        </w:rPr>
        <w:t>, ביקשתי זהו זה נגמר. זה כבר יותר משנה שזה נגמר לא מדברים (לא ברור). זהו נגמר.</w:t>
      </w:r>
    </w:p>
    <w:p w:rsidR="00960807" w:rsidRDefault="007D3ADD" w:rsidP="00960807">
      <w:pPr>
        <w:pStyle w:val="ad"/>
        <w:spacing w:line="360" w:lineRule="auto"/>
        <w:ind w:left="1076" w:right="426"/>
        <w:jc w:val="both"/>
        <w:rPr>
          <w:rFonts w:ascii="FrankRuehl" w:hAnsi="FrankRuehl" w:cs="FrankRuehl"/>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כן אבל את לא חושבת שיש לך אחריות כלפינו</w:t>
      </w:r>
      <w:r w:rsidR="00960807">
        <w:rPr>
          <w:rFonts w:ascii="FrankRuehl" w:hAnsi="FrankRuehl" w:cs="FrankRuehl"/>
          <w:sz w:val="28"/>
          <w:szCs w:val="28"/>
          <w:rtl/>
        </w:rPr>
        <w:t xml:space="preserve">. </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 אין לי צוואה (לא ברור).</w:t>
      </w:r>
    </w:p>
    <w:p w:rsidR="00960807" w:rsidRDefault="007D3ADD" w:rsidP="00960807">
      <w:pPr>
        <w:pStyle w:val="ad"/>
        <w:spacing w:line="360" w:lineRule="auto"/>
        <w:ind w:left="1076" w:right="426"/>
        <w:jc w:val="both"/>
        <w:rPr>
          <w:rFonts w:ascii="FrankRuehl" w:hAnsi="FrankRuehl" w:cs="FrankRuehl"/>
          <w:b/>
          <w:bCs/>
          <w:sz w:val="28"/>
          <w:szCs w:val="28"/>
        </w:rPr>
      </w:pPr>
      <w:r>
        <w:rPr>
          <w:rFonts w:ascii="FrankRuehl" w:hAnsi="FrankRuehl" w:cs="FrankRuehl"/>
          <w:b/>
          <w:bCs/>
          <w:sz w:val="28"/>
          <w:szCs w:val="28"/>
          <w:rtl/>
        </w:rPr>
        <w:t>מ</w:t>
      </w:r>
      <w:r w:rsidR="00960807">
        <w:rPr>
          <w:rFonts w:ascii="FrankRuehl" w:hAnsi="FrankRuehl" w:cs="FrankRuehl"/>
          <w:b/>
          <w:bCs/>
          <w:sz w:val="28"/>
          <w:szCs w:val="28"/>
          <w:rtl/>
        </w:rPr>
        <w:t>: זה לא מה שאמרתם בעבר. זה זה לא מה שהזכרתם".</w:t>
      </w:r>
    </w:p>
    <w:p w:rsidR="00960807" w:rsidRDefault="00960807" w:rsidP="00960807">
      <w:pPr>
        <w:pStyle w:val="ad"/>
        <w:spacing w:line="360" w:lineRule="auto"/>
        <w:ind w:left="1076" w:right="426"/>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ובהקלטה נוספת מאותו היום:</w:t>
      </w:r>
    </w:p>
    <w:p w:rsidR="00960807" w:rsidRDefault="00960807" w:rsidP="00960807">
      <w:pPr>
        <w:pStyle w:val="ad"/>
        <w:spacing w:line="360" w:lineRule="auto"/>
        <w:ind w:left="1076" w:right="426"/>
        <w:jc w:val="both"/>
        <w:rPr>
          <w:rFonts w:ascii="FrankRuehl" w:hAnsi="FrankRuehl" w:cs="FrankRuehl"/>
          <w:sz w:val="28"/>
          <w:szCs w:val="28"/>
          <w:rtl/>
        </w:rPr>
      </w:pP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אין לי התחייבות כלפי אף אחד כבר מזמן.</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 נכון ולז</w:t>
      </w:r>
      <w:r>
        <w:rPr>
          <w:rFonts w:ascii="FrankRuehl" w:hAnsi="FrankRuehl" w:cs="FrankRuehl" w:hint="cs"/>
          <w:b/>
          <w:bCs/>
          <w:sz w:val="28"/>
          <w:szCs w:val="28"/>
          <w:rtl/>
        </w:rPr>
        <w:t>'</w:t>
      </w:r>
      <w:r w:rsidR="00960807">
        <w:rPr>
          <w:rFonts w:ascii="FrankRuehl" w:hAnsi="FrankRuehl" w:cs="FrankRuehl"/>
          <w:b/>
          <w:bCs/>
          <w:sz w:val="28"/>
          <w:szCs w:val="28"/>
          <w:rtl/>
        </w:rPr>
        <w:t xml:space="preserve"> הייתה התחייבות.</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 לז</w:t>
      </w:r>
      <w:r>
        <w:rPr>
          <w:rFonts w:ascii="FrankRuehl" w:hAnsi="FrankRuehl" w:cs="FrankRuehl" w:hint="cs"/>
          <w:b/>
          <w:bCs/>
          <w:sz w:val="28"/>
          <w:szCs w:val="28"/>
          <w:rtl/>
        </w:rPr>
        <w:t>'</w:t>
      </w:r>
      <w:r>
        <w:rPr>
          <w:rFonts w:ascii="FrankRuehl" w:hAnsi="FrankRuehl" w:cs="FrankRuehl"/>
          <w:b/>
          <w:bCs/>
          <w:sz w:val="28"/>
          <w:szCs w:val="28"/>
          <w:rtl/>
        </w:rPr>
        <w:t xml:space="preserve"> הייתה התחייבות אז לר</w:t>
      </w:r>
      <w:r>
        <w:rPr>
          <w:rFonts w:ascii="FrankRuehl" w:hAnsi="FrankRuehl" w:cs="FrankRuehl" w:hint="cs"/>
          <w:b/>
          <w:bCs/>
          <w:sz w:val="28"/>
          <w:szCs w:val="28"/>
          <w:rtl/>
        </w:rPr>
        <w:t>'</w:t>
      </w:r>
      <w:r w:rsidR="00960807">
        <w:rPr>
          <w:rFonts w:ascii="FrankRuehl" w:hAnsi="FrankRuehl" w:cs="FrankRuehl"/>
          <w:b/>
          <w:bCs/>
          <w:sz w:val="28"/>
          <w:szCs w:val="28"/>
          <w:rtl/>
        </w:rPr>
        <w:t xml:space="preserve"> הייתה התחייבות אז וזה נגמר אז.</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xml:space="preserve">: כן אבל מה </w:t>
      </w:r>
      <w:r>
        <w:rPr>
          <w:rFonts w:ascii="FrankRuehl" w:hAnsi="FrankRuehl" w:cs="FrankRuehl"/>
          <w:b/>
          <w:bCs/>
          <w:sz w:val="28"/>
          <w:szCs w:val="28"/>
          <w:rtl/>
        </w:rPr>
        <w:t>הייתה ההתחייבות שלכם אז? הא ר</w:t>
      </w:r>
      <w:r>
        <w:rPr>
          <w:rFonts w:ascii="FrankRuehl" w:hAnsi="FrankRuehl" w:cs="FrankRuehl" w:hint="cs"/>
          <w:b/>
          <w:bCs/>
          <w:sz w:val="28"/>
          <w:szCs w:val="28"/>
          <w:rtl/>
        </w:rPr>
        <w:t>'</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 מ</w:t>
      </w:r>
      <w:r>
        <w:rPr>
          <w:rFonts w:ascii="FrankRuehl" w:hAnsi="FrankRuehl" w:cs="FrankRuehl" w:hint="cs"/>
          <w:b/>
          <w:bCs/>
          <w:sz w:val="28"/>
          <w:szCs w:val="28"/>
          <w:rtl/>
        </w:rPr>
        <w:t>'</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אני מדבר בשקט, תגידי רק למה התכוונת.</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xml:space="preserve">: אל... אני מבקשת לחתוך מהדיבור. </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כי בעבר התחייבתם ש?</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אתה..</w:t>
      </w:r>
      <w:r>
        <w:rPr>
          <w:rFonts w:ascii="FrankRuehl" w:hAnsi="FrankRuehl" w:cs="FrankRuehl"/>
          <w:b/>
          <w:bCs/>
          <w:sz w:val="28"/>
          <w:szCs w:val="28"/>
          <w:rtl/>
        </w:rPr>
        <w:t>. החברים שלי האחרים הם אמרו ר</w:t>
      </w:r>
      <w:r>
        <w:rPr>
          <w:rFonts w:ascii="FrankRuehl" w:hAnsi="FrankRuehl" w:cs="FrankRuehl" w:hint="cs"/>
          <w:b/>
          <w:bCs/>
          <w:sz w:val="28"/>
          <w:szCs w:val="28"/>
          <w:rtl/>
        </w:rPr>
        <w:t>'</w:t>
      </w:r>
      <w:r w:rsidR="00960807">
        <w:rPr>
          <w:rFonts w:ascii="FrankRuehl" w:hAnsi="FrankRuehl" w:cs="FrankRuehl"/>
          <w:b/>
          <w:bCs/>
          <w:sz w:val="28"/>
          <w:szCs w:val="28"/>
          <w:rtl/>
        </w:rPr>
        <w:t xml:space="preserve"> תהיי שלווה.</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שקטה, שלווה. צריכה להיות שלווה.</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תחשבי, תעשי מה שאת רוצה אל תשאלי אותנו אנחנו לא יודעים.</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אבל חשוב...</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lastRenderedPageBreak/>
        <w:t>ר</w:t>
      </w:r>
      <w:r w:rsidR="00960807">
        <w:rPr>
          <w:rFonts w:ascii="FrankRuehl" w:hAnsi="FrankRuehl" w:cs="FrankRuehl"/>
          <w:b/>
          <w:bCs/>
          <w:sz w:val="28"/>
          <w:szCs w:val="28"/>
          <w:rtl/>
        </w:rPr>
        <w:t>: אני לא רוצה.</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נכון</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Pr>
          <w:rFonts w:ascii="FrankRuehl" w:hAnsi="FrankRuehl" w:cs="FrankRuehl" w:hint="cs"/>
          <w:b/>
          <w:bCs/>
          <w:sz w:val="28"/>
          <w:szCs w:val="28"/>
          <w:rtl/>
        </w:rPr>
        <w:t>:</w:t>
      </w:r>
      <w:r>
        <w:rPr>
          <w:rFonts w:ascii="FrankRuehl" w:hAnsi="FrankRuehl" w:cs="FrankRuehl"/>
          <w:b/>
          <w:bCs/>
          <w:sz w:val="28"/>
          <w:szCs w:val="28"/>
          <w:rtl/>
        </w:rPr>
        <w:t xml:space="preserve"> מ</w:t>
      </w:r>
      <w:r>
        <w:rPr>
          <w:rFonts w:ascii="FrankRuehl" w:hAnsi="FrankRuehl" w:cs="FrankRuehl" w:hint="cs"/>
          <w:b/>
          <w:bCs/>
          <w:sz w:val="28"/>
          <w:szCs w:val="28"/>
          <w:rtl/>
        </w:rPr>
        <w:t>'</w:t>
      </w:r>
      <w:r w:rsidR="00960807">
        <w:rPr>
          <w:rFonts w:ascii="FrankRuehl" w:hAnsi="FrankRuehl" w:cs="FrankRuehl"/>
          <w:b/>
          <w:bCs/>
          <w:sz w:val="28"/>
          <w:szCs w:val="28"/>
          <w:rtl/>
        </w:rPr>
        <w:t xml:space="preserve"> טירוג ( בבקשה ברומנית, הערה של המתמלל)</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xml:space="preserve"> </w:t>
      </w:r>
      <w:r>
        <w:rPr>
          <w:rFonts w:ascii="FrankRuehl" w:hAnsi="FrankRuehl" w:cs="FrankRuehl"/>
          <w:b/>
          <w:bCs/>
          <w:sz w:val="28"/>
          <w:szCs w:val="28"/>
          <w:rtl/>
        </w:rPr>
        <w:t>(לא ברור) אני רק אומר שבעבר ר</w:t>
      </w:r>
      <w:r>
        <w:rPr>
          <w:rFonts w:ascii="FrankRuehl" w:hAnsi="FrankRuehl" w:cs="FrankRuehl" w:hint="cs"/>
          <w:b/>
          <w:bCs/>
          <w:sz w:val="28"/>
          <w:szCs w:val="28"/>
          <w:rtl/>
        </w:rPr>
        <w:t>'</w:t>
      </w:r>
      <w:r w:rsidR="00960807">
        <w:rPr>
          <w:rFonts w:ascii="FrankRuehl" w:hAnsi="FrankRuehl" w:cs="FrankRuehl"/>
          <w:b/>
          <w:bCs/>
          <w:sz w:val="28"/>
          <w:szCs w:val="28"/>
          <w:rtl/>
        </w:rPr>
        <w:t xml:space="preserve"> א</w:t>
      </w:r>
      <w:r>
        <w:rPr>
          <w:rFonts w:ascii="FrankRuehl" w:hAnsi="FrankRuehl" w:cs="FrankRuehl"/>
          <w:b/>
          <w:bCs/>
          <w:sz w:val="28"/>
          <w:szCs w:val="28"/>
          <w:rtl/>
        </w:rPr>
        <w:t>ת דיברת שהחלוקה תהיה ביננו למ</w:t>
      </w:r>
      <w:r>
        <w:rPr>
          <w:rFonts w:ascii="FrankRuehl" w:hAnsi="FrankRuehl" w:cs="FrankRuehl" w:hint="cs"/>
          <w:b/>
          <w:bCs/>
          <w:sz w:val="28"/>
          <w:szCs w:val="28"/>
          <w:rtl/>
        </w:rPr>
        <w:t>'</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 זה מה שאת וז</w:t>
      </w:r>
      <w:r>
        <w:rPr>
          <w:rFonts w:ascii="FrankRuehl" w:hAnsi="FrankRuehl" w:cs="FrankRuehl" w:hint="cs"/>
          <w:b/>
          <w:bCs/>
          <w:sz w:val="28"/>
          <w:szCs w:val="28"/>
          <w:rtl/>
        </w:rPr>
        <w:t>'</w:t>
      </w:r>
      <w:r w:rsidR="00960807">
        <w:rPr>
          <w:rFonts w:ascii="FrankRuehl" w:hAnsi="FrankRuehl" w:cs="FrankRuehl"/>
          <w:b/>
          <w:bCs/>
          <w:sz w:val="28"/>
          <w:szCs w:val="28"/>
          <w:rtl/>
        </w:rPr>
        <w:t xml:space="preserve"> אמרתם</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מ.. טוב</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 עובדה לא... לא ד</w:t>
      </w:r>
      <w:r>
        <w:rPr>
          <w:rFonts w:ascii="FrankRuehl" w:hAnsi="FrankRuehl" w:cs="FrankRuehl" w:hint="cs"/>
          <w:b/>
          <w:bCs/>
          <w:sz w:val="28"/>
          <w:szCs w:val="28"/>
          <w:rtl/>
        </w:rPr>
        <w:t>'</w:t>
      </w:r>
      <w:r>
        <w:rPr>
          <w:rFonts w:ascii="FrankRuehl" w:hAnsi="FrankRuehl" w:cs="FrankRuehl"/>
          <w:b/>
          <w:bCs/>
          <w:sz w:val="28"/>
          <w:szCs w:val="28"/>
          <w:rtl/>
        </w:rPr>
        <w:t xml:space="preserve"> לא מוני לא ח</w:t>
      </w:r>
      <w:r>
        <w:rPr>
          <w:rFonts w:ascii="FrankRuehl" w:hAnsi="FrankRuehl" w:cs="FrankRuehl" w:hint="cs"/>
          <w:b/>
          <w:bCs/>
          <w:sz w:val="28"/>
          <w:szCs w:val="28"/>
          <w:rtl/>
        </w:rPr>
        <w:t>'</w:t>
      </w:r>
      <w:r>
        <w:rPr>
          <w:rFonts w:ascii="FrankRuehl" w:hAnsi="FrankRuehl" w:cs="FrankRuehl"/>
          <w:b/>
          <w:bCs/>
          <w:sz w:val="28"/>
          <w:szCs w:val="28"/>
          <w:rtl/>
        </w:rPr>
        <w:t xml:space="preserve"> לא מ</w:t>
      </w:r>
      <w:r>
        <w:rPr>
          <w:rFonts w:ascii="FrankRuehl" w:hAnsi="FrankRuehl" w:cs="FrankRuehl" w:hint="cs"/>
          <w:b/>
          <w:bCs/>
          <w:sz w:val="28"/>
          <w:szCs w:val="28"/>
          <w:rtl/>
        </w:rPr>
        <w:t>'</w:t>
      </w:r>
      <w:r w:rsidR="00960807">
        <w:rPr>
          <w:rFonts w:ascii="FrankRuehl" w:hAnsi="FrankRuehl" w:cs="FrankRuehl"/>
          <w:b/>
          <w:bCs/>
          <w:sz w:val="28"/>
          <w:szCs w:val="28"/>
          <w:rtl/>
        </w:rPr>
        <w:t>, אני. אני.</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xml:space="preserve">: מ. טוב ברור שזה את. זה ברור שזה את. זה ברור שזה את. </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לא זה...</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xml:space="preserve">: ...אז אני מצטערת... </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זה ברור שזה את, לא לא.</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xml:space="preserve"> אתה לא מעודכן ואני כנראה יותר מעודכנת.</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 כן זה את יודעת למה שז</w:t>
      </w:r>
      <w:r>
        <w:rPr>
          <w:rFonts w:ascii="FrankRuehl" w:hAnsi="FrankRuehl" w:cs="FrankRuehl" w:hint="cs"/>
          <w:b/>
          <w:bCs/>
          <w:sz w:val="28"/>
          <w:szCs w:val="28"/>
          <w:rtl/>
        </w:rPr>
        <w:t>'</w:t>
      </w:r>
      <w:r w:rsidR="00960807">
        <w:rPr>
          <w:rFonts w:ascii="FrankRuehl" w:hAnsi="FrankRuehl" w:cs="FrankRuehl"/>
          <w:b/>
          <w:bCs/>
          <w:sz w:val="28"/>
          <w:szCs w:val="28"/>
          <w:rtl/>
        </w:rPr>
        <w:t xml:space="preserve"> התכוון רק לדברים האלה. זה מה שאמרתם בעבר וחזרתם על זה וחבל.</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 דיברנו עם אף אחד.</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שכחת.</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לא דיברנו עם אף אחד ולא התייעצנו עם אף אחד. תגיד שאני אתן לו מאה שקל או שאני אתן לו חמישים שקל לא. לא התייעצנו כי לא רצינו.</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נכון, נכון.</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כי לא רצינו את הוויכוחים האלו.</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נכון אבל את אמרת לי בעבר ש</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ר</w:t>
      </w:r>
      <w:r w:rsidR="00960807">
        <w:rPr>
          <w:rFonts w:ascii="FrankRuehl" w:hAnsi="FrankRuehl" w:cs="FrankRuehl"/>
          <w:b/>
          <w:bCs/>
          <w:sz w:val="28"/>
          <w:szCs w:val="28"/>
          <w:rtl/>
        </w:rPr>
        <w:t>: אני לא אמרתי אני לא יודעת מה אתה חושב ששמעת אני לא יודעת מה (לא ברור) באמת תעזוב.</w:t>
      </w:r>
    </w:p>
    <w:p w:rsidR="00960807" w:rsidRDefault="007D3ADD"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מ</w:t>
      </w:r>
      <w:r w:rsidR="00960807">
        <w:rPr>
          <w:rFonts w:ascii="FrankRuehl" w:hAnsi="FrankRuehl" w:cs="FrankRuehl"/>
          <w:b/>
          <w:bCs/>
          <w:sz w:val="28"/>
          <w:szCs w:val="28"/>
          <w:rtl/>
        </w:rPr>
        <w:t>: די די נגמר בסדר. בואי,</w:t>
      </w:r>
    </w:p>
    <w:p w:rsidR="00960807" w:rsidRDefault="00960807" w:rsidP="00960807">
      <w:pPr>
        <w:pStyle w:val="ad"/>
        <w:spacing w:line="360" w:lineRule="auto"/>
        <w:ind w:left="1076" w:right="426"/>
        <w:jc w:val="both"/>
        <w:rPr>
          <w:rFonts w:ascii="FrankRuehl" w:hAnsi="FrankRuehl" w:cs="FrankRuehl"/>
          <w:b/>
          <w:bCs/>
          <w:sz w:val="28"/>
          <w:szCs w:val="28"/>
          <w:rtl/>
        </w:rPr>
      </w:pPr>
      <w:r>
        <w:rPr>
          <w:rFonts w:ascii="FrankRuehl" w:hAnsi="FrankRuehl" w:cs="FrankRuehl"/>
          <w:b/>
          <w:bCs/>
          <w:sz w:val="28"/>
          <w:szCs w:val="28"/>
          <w:rtl/>
        </w:rPr>
        <w:t>..."</w:t>
      </w:r>
    </w:p>
    <w:p w:rsidR="00960807" w:rsidRDefault="00960807" w:rsidP="00960807">
      <w:pPr>
        <w:pStyle w:val="ad"/>
        <w:spacing w:line="360" w:lineRule="auto"/>
        <w:ind w:left="360"/>
        <w:jc w:val="both"/>
        <w:rPr>
          <w:rFonts w:ascii="FrankRuehl" w:hAnsi="FrankRuehl" w:cs="FrankRuehl"/>
          <w:sz w:val="28"/>
          <w:szCs w:val="28"/>
          <w:rtl/>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הבאנו חלקים ניכרים מאותן הקלטות בכדי לנמק את עמדתנו, לפיה, לטעמנו, אין באותן הקלטות, בכדי לבסס נסיבות חיצוניות שיש בהן להביא לקבלת הערעור.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לטענת המערערים, אין לייחס משקל להקלטה השנייה שכן במועד זה כבר היתה המנוחה בלתי צלולה ומועד זה היה מועד מאוחר למועד הפעלת ייפוי כוח מתמשך בעניינה. מצאנו טענה זו מעט מוקשה; ראשית, באם לא היתה המנ</w:t>
      </w:r>
      <w:r w:rsidR="007D3ADD">
        <w:rPr>
          <w:rFonts w:ascii="FrankRuehl" w:hAnsi="FrankRuehl" w:cs="FrankRuehl"/>
          <w:sz w:val="28"/>
          <w:szCs w:val="28"/>
          <w:rtl/>
        </w:rPr>
        <w:t>וחה צלולה באותה עת, מדוע בחר מ</w:t>
      </w:r>
      <w:r w:rsidR="007D3ADD">
        <w:rPr>
          <w:rFonts w:ascii="FrankRuehl" w:hAnsi="FrankRuehl" w:cs="FrankRuehl" w:hint="cs"/>
          <w:sz w:val="28"/>
          <w:szCs w:val="28"/>
          <w:rtl/>
        </w:rPr>
        <w:t>'</w:t>
      </w:r>
      <w:r w:rsidR="007D3ADD">
        <w:rPr>
          <w:rFonts w:ascii="FrankRuehl" w:hAnsi="FrankRuehl" w:cs="FrankRuehl"/>
          <w:sz w:val="28"/>
          <w:szCs w:val="28"/>
          <w:rtl/>
        </w:rPr>
        <w:t xml:space="preserve"> </w:t>
      </w:r>
      <w:r>
        <w:rPr>
          <w:rFonts w:ascii="FrankRuehl" w:hAnsi="FrankRuehl" w:cs="FrankRuehl"/>
          <w:sz w:val="28"/>
          <w:szCs w:val="28"/>
          <w:rtl/>
        </w:rPr>
        <w:t xml:space="preserve">להקליטה. אין זאת אלא, כי סבר, שעל אף הפעלת ייפוי הכוח, לא היתה בלתי צלולה וניתן היה לחלץ הימנה מידע אוטנטי בנוגע לכוונתה.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בכדי שלא נמצא מחסירים נתייחס למספר טענות נוספות שהעלו הצדדים; הטענה לפיה הייתה קרבה יתרה בין המערערים לבין המנוחים לעומת ריחוק בינם לבין המשיב, לא באה לידי ביטוי בצוואת הצדדים או בהקלטות שצירפו המערערים. ניכר, כי כל אחד מהמנוחים רצה להגן על אחיו ולדאוג לרווחתו (מקום בו ילכו לבית עולמם בעת ובעונה אחת), ועלה מההקלטה הראשונה, כי הדבר אף עורר ויכוח בין המנוחים. לא עלה מכלל ראיות הצדדים כי קרבתם המיוחדת של המנוחים למערערים (כטענת המערערים) אל מול הריחוק הנטען מהמשיב, היוותה שיקול להעדיפם על פני המשיב (לעניין זה, שימת הלב לעובדה, כי על פי ייפוי הכוח המתמשך עליו חתמה המנוחה, אחיה מו</w:t>
      </w:r>
      <w:r w:rsidR="007D3ADD">
        <w:rPr>
          <w:rFonts w:ascii="FrankRuehl" w:hAnsi="FrankRuehl" w:cs="FrankRuehl"/>
          <w:sz w:val="28"/>
          <w:szCs w:val="28"/>
          <w:rtl/>
        </w:rPr>
        <w:t>נה להיות האפוטרופוס שלה ולא ח</w:t>
      </w:r>
      <w:r w:rsidR="007D3ADD">
        <w:rPr>
          <w:rFonts w:ascii="FrankRuehl" w:hAnsi="FrankRuehl" w:cs="FrankRuehl" w:hint="cs"/>
          <w:sz w:val="28"/>
          <w:szCs w:val="28"/>
          <w:rtl/>
        </w:rPr>
        <w:t>.ש</w:t>
      </w:r>
      <w:r w:rsidR="007D3ADD">
        <w:rPr>
          <w:rFonts w:ascii="FrankRuehl" w:hAnsi="FrankRuehl" w:cs="FrankRuehl"/>
          <w:sz w:val="28"/>
          <w:szCs w:val="28"/>
          <w:rtl/>
        </w:rPr>
        <w:t xml:space="preserve"> או מ</w:t>
      </w:r>
      <w:r w:rsidR="007D3ADD">
        <w:rPr>
          <w:rFonts w:ascii="FrankRuehl" w:hAnsi="FrankRuehl" w:cs="FrankRuehl" w:hint="cs"/>
          <w:sz w:val="28"/>
          <w:szCs w:val="28"/>
          <w:rtl/>
        </w:rPr>
        <w:t>.ש</w:t>
      </w:r>
      <w:r>
        <w:rPr>
          <w:rFonts w:ascii="FrankRuehl" w:hAnsi="FrankRuehl" w:cs="FrankRuehl"/>
          <w:sz w:val="28"/>
          <w:szCs w:val="28"/>
          <w:rtl/>
        </w:rPr>
        <w:t xml:space="preserve">).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עוד נציין, כי סבורות אנו כי יש ממש בטיעוניו המשפטיים של המשיב בדבר היעדר המעמד למערערים; על אף שלכאורה יש בקביעה זו בכדי לייתר את כלל הדיון בערעור, לא פתחנו בעניין זה, אך אין בהתייחסות אליו בשולי פסק הדין בכדי להעיד על שולי חשיבותו. </w:t>
      </w:r>
    </w:p>
    <w:p w:rsidR="00960807" w:rsidRDefault="00960807" w:rsidP="00960807">
      <w:pPr>
        <w:pStyle w:val="ad"/>
        <w:rPr>
          <w:rFonts w:ascii="FrankRuehl" w:hAnsi="FrankRuehl" w:cs="FrankRuehl"/>
          <w:sz w:val="28"/>
          <w:szCs w:val="28"/>
        </w:rPr>
      </w:pPr>
    </w:p>
    <w:p w:rsidR="00960807" w:rsidRDefault="00960807" w:rsidP="007D3ADD">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כדין קבע בית המשפט קמא, כי לאור הוראת סעיף 42 לחוק הירושה, אין מעמד למערערים</w:t>
      </w:r>
      <w:r w:rsidR="007D3ADD">
        <w:rPr>
          <w:rFonts w:ascii="FrankRuehl" w:hAnsi="FrankRuehl" w:cs="FrankRuehl" w:hint="cs"/>
          <w:sz w:val="28"/>
          <w:szCs w:val="28"/>
          <w:rtl/>
        </w:rPr>
        <w:t>.</w:t>
      </w:r>
      <w:r>
        <w:rPr>
          <w:rFonts w:ascii="FrankRuehl" w:hAnsi="FrankRuehl" w:cs="FrankRuehl"/>
          <w:sz w:val="28"/>
          <w:szCs w:val="28"/>
          <w:rtl/>
        </w:rPr>
        <w:t xml:space="preserve"> </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David" w:hAnsi="David" w:cs="David"/>
          <w:sz w:val="24"/>
          <w:szCs w:val="24"/>
          <w:rtl/>
        </w:rPr>
      </w:pPr>
      <w:r>
        <w:rPr>
          <w:rFonts w:ascii="FrankRuehl" w:hAnsi="FrankRuehl" w:cs="FrankRuehl"/>
          <w:sz w:val="28"/>
          <w:szCs w:val="28"/>
          <w:rtl/>
        </w:rPr>
        <w:t>סעיף 42 לחוק הירושה, העוסק ביורש אחר יורש, קובע כדלקמן:</w:t>
      </w:r>
    </w:p>
    <w:p w:rsidR="00960807" w:rsidRDefault="00960807" w:rsidP="00960807">
      <w:pPr>
        <w:shd w:val="clear" w:color="auto" w:fill="FFFFFF"/>
        <w:bidi w:val="0"/>
        <w:jc w:val="both"/>
        <w:rPr>
          <w:rFonts w:ascii="Arial" w:hAnsi="Arial" w:cs="Arial"/>
          <w:color w:val="000000"/>
          <w:sz w:val="21"/>
          <w:szCs w:val="21"/>
        </w:rPr>
      </w:pP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Pr>
      </w:pPr>
      <w:r>
        <w:rPr>
          <w:rFonts w:ascii="FrankRuehl" w:hAnsi="FrankRuehl" w:cs="FrankRuehl"/>
          <w:sz w:val="28"/>
          <w:szCs w:val="28"/>
          <w:rtl/>
        </w:rPr>
        <w:lastRenderedPageBreak/>
        <w:t>(א). 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r>
        <w:rPr>
          <w:rFonts w:ascii="FrankRuehl" w:hAnsi="FrankRuehl" w:cs="FrankRuehl"/>
          <w:sz w:val="28"/>
          <w:szCs w:val="28"/>
        </w:rPr>
        <w:t>.</w:t>
      </w: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Pr>
      </w:pPr>
      <w:r>
        <w:rPr>
          <w:rFonts w:ascii="FrankRuehl" w:hAnsi="FrankRuehl" w:cs="FrankRuehl"/>
          <w:sz w:val="28"/>
          <w:szCs w:val="28"/>
          <w:rtl/>
        </w:rPr>
        <w:t>(ב). הראשון רשאי לעשות במה שקיבל כבתוך שלו, והשני לא יזכה אלא במה ששייר הראשון; אולם אין הראשון יכול לגרוע מזכותו של השני על ידי צוואה</w:t>
      </w:r>
      <w:r>
        <w:rPr>
          <w:rFonts w:ascii="FrankRuehl" w:hAnsi="FrankRuehl" w:cs="FrankRuehl"/>
          <w:sz w:val="28"/>
          <w:szCs w:val="28"/>
        </w:rPr>
        <w:t>.</w:t>
      </w: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Pr>
      </w:pPr>
      <w:r>
        <w:rPr>
          <w:rFonts w:ascii="FrankRuehl" w:hAnsi="FrankRuehl" w:cs="FrankRuehl"/>
          <w:sz w:val="28"/>
          <w:szCs w:val="28"/>
          <w:rtl/>
        </w:rPr>
        <w:t>(ג). 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r>
        <w:rPr>
          <w:rFonts w:ascii="FrankRuehl" w:hAnsi="FrankRuehl" w:cs="FrankRuehl"/>
          <w:sz w:val="28"/>
          <w:szCs w:val="28"/>
        </w:rPr>
        <w:t>.</w:t>
      </w:r>
    </w:p>
    <w:p w:rsidR="00960807" w:rsidRDefault="00960807" w:rsidP="00960807">
      <w:pPr>
        <w:shd w:val="clear" w:color="auto" w:fill="FFFFFF"/>
        <w:spacing w:before="150" w:line="360" w:lineRule="auto"/>
        <w:ind w:left="1076" w:right="851" w:hanging="283"/>
        <w:jc w:val="both"/>
        <w:rPr>
          <w:rFonts w:ascii="FrankRuehl" w:hAnsi="FrankRuehl" w:cs="FrankRuehl"/>
          <w:sz w:val="28"/>
          <w:szCs w:val="28"/>
        </w:rPr>
      </w:pPr>
      <w:r>
        <w:rPr>
          <w:rFonts w:ascii="FrankRuehl" w:hAnsi="FrankRuehl" w:cs="FrankRuehl"/>
          <w:sz w:val="28"/>
          <w:szCs w:val="28"/>
          <w:rtl/>
        </w:rPr>
        <w:t>(ד). הוראת צוואה על דרך זו ליותר משניים – בטלה, זולת הוראה לטובתו של מי שהיה בחיים בשעת עשיית הצוואה</w:t>
      </w:r>
      <w:r>
        <w:rPr>
          <w:rFonts w:ascii="FrankRuehl" w:hAnsi="FrankRuehl" w:cs="FrankRuehl"/>
          <w:sz w:val="28"/>
          <w:szCs w:val="28"/>
        </w:rPr>
        <w:t>."</w:t>
      </w:r>
    </w:p>
    <w:p w:rsidR="00960807" w:rsidRDefault="00960807" w:rsidP="00960807">
      <w:pPr>
        <w:pStyle w:val="ad"/>
        <w:spacing w:line="360" w:lineRule="auto"/>
        <w:jc w:val="both"/>
        <w:rPr>
          <w:rFonts w:ascii="FrankRuehl" w:hAnsi="FrankRuehl" w:cs="FrankRuehl"/>
          <w:sz w:val="28"/>
          <w:szCs w:val="28"/>
        </w:rPr>
      </w:pPr>
    </w:p>
    <w:p w:rsidR="00960807" w:rsidRDefault="007D3ADD"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כאמור, אחר ז</w:t>
      </w:r>
      <w:r>
        <w:rPr>
          <w:rFonts w:ascii="FrankRuehl" w:hAnsi="FrankRuehl" w:cs="FrankRuehl" w:hint="cs"/>
          <w:sz w:val="28"/>
          <w:szCs w:val="28"/>
          <w:rtl/>
        </w:rPr>
        <w:t>.ש</w:t>
      </w:r>
      <w:r w:rsidR="00960807">
        <w:rPr>
          <w:rFonts w:ascii="FrankRuehl" w:hAnsi="FrankRuehl" w:cs="FrankRuehl"/>
          <w:sz w:val="28"/>
          <w:szCs w:val="28"/>
          <w:rtl/>
        </w:rPr>
        <w:t xml:space="preserve"> ניתן צו לקיום צוואה, </w:t>
      </w:r>
      <w:r>
        <w:rPr>
          <w:rFonts w:ascii="FrankRuehl" w:hAnsi="FrankRuehl" w:cs="FrankRuehl"/>
          <w:sz w:val="28"/>
          <w:szCs w:val="28"/>
          <w:rtl/>
        </w:rPr>
        <w:t>ולפיכך העיזבון לאחר מותה של ר</w:t>
      </w:r>
      <w:r>
        <w:rPr>
          <w:rFonts w:ascii="FrankRuehl" w:hAnsi="FrankRuehl" w:cs="FrankRuehl" w:hint="cs"/>
          <w:sz w:val="28"/>
          <w:szCs w:val="28"/>
          <w:rtl/>
        </w:rPr>
        <w:t>'</w:t>
      </w:r>
      <w:r w:rsidR="00960807">
        <w:rPr>
          <w:rFonts w:ascii="FrankRuehl" w:hAnsi="FrankRuehl" w:cs="FrankRuehl"/>
          <w:sz w:val="28"/>
          <w:szCs w:val="28"/>
          <w:rtl/>
        </w:rPr>
        <w:t xml:space="preserve"> הינו עיזבונה. בסעיף 5 לצ</w:t>
      </w:r>
      <w:r>
        <w:rPr>
          <w:rFonts w:ascii="FrankRuehl" w:hAnsi="FrankRuehl" w:cs="FrankRuehl"/>
          <w:sz w:val="28"/>
          <w:szCs w:val="28"/>
          <w:rtl/>
        </w:rPr>
        <w:t>וואה נכתב כי את חלקה מורישה ר</w:t>
      </w:r>
      <w:r>
        <w:rPr>
          <w:rFonts w:ascii="FrankRuehl" w:hAnsi="FrankRuehl" w:cs="FrankRuehl" w:hint="cs"/>
          <w:sz w:val="28"/>
          <w:szCs w:val="28"/>
          <w:rtl/>
        </w:rPr>
        <w:t>'</w:t>
      </w:r>
      <w:r w:rsidR="00960807">
        <w:rPr>
          <w:rFonts w:ascii="FrankRuehl" w:hAnsi="FrankRuehl" w:cs="FrankRuehl"/>
          <w:sz w:val="28"/>
          <w:szCs w:val="28"/>
          <w:rtl/>
        </w:rPr>
        <w:t xml:space="preserve"> לאחיה, וחלקה, כאמור,</w:t>
      </w:r>
      <w:r>
        <w:rPr>
          <w:rFonts w:ascii="FrankRuehl" w:hAnsi="FrankRuehl" w:cs="FrankRuehl"/>
          <w:sz w:val="28"/>
          <w:szCs w:val="28"/>
          <w:rtl/>
        </w:rPr>
        <w:t xml:space="preserve"> הינו העיזבון במלואו. לפיכך מ</w:t>
      </w:r>
      <w:r>
        <w:rPr>
          <w:rFonts w:ascii="FrankRuehl" w:hAnsi="FrankRuehl" w:cs="FrankRuehl" w:hint="cs"/>
          <w:sz w:val="28"/>
          <w:szCs w:val="28"/>
          <w:rtl/>
        </w:rPr>
        <w:t>'</w:t>
      </w:r>
      <w:r>
        <w:rPr>
          <w:rFonts w:ascii="FrankRuehl" w:hAnsi="FrankRuehl" w:cs="FrankRuehl"/>
          <w:sz w:val="28"/>
          <w:szCs w:val="28"/>
          <w:rtl/>
        </w:rPr>
        <w:t>, אחיו של ז</w:t>
      </w:r>
      <w:r>
        <w:rPr>
          <w:rFonts w:ascii="FrankRuehl" w:hAnsi="FrankRuehl" w:cs="FrankRuehl" w:hint="cs"/>
          <w:sz w:val="28"/>
          <w:szCs w:val="28"/>
          <w:rtl/>
        </w:rPr>
        <w:t>'</w:t>
      </w:r>
      <w:r w:rsidR="00960807">
        <w:rPr>
          <w:rFonts w:ascii="FrankRuehl" w:hAnsi="FrankRuehl" w:cs="FrankRuehl"/>
          <w:sz w:val="28"/>
          <w:szCs w:val="28"/>
          <w:rtl/>
        </w:rPr>
        <w:t xml:space="preserve">, אינו יורש אחר יורש.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יתרה מכך, אף אילו נתן היה לקבל את עמדת המערערים לפיה, שני אחי המנוחים הינם יורשיהם (וכאמור – לטעמנו לא כך הם פני הדברים), הרי שלפי סעיף 42(ג) לחוק הירושה, במידה והיורש השני נפטר לפני שעת זכייתו, הוראות הצוואה לט</w:t>
      </w:r>
      <w:r w:rsidR="007D3ADD">
        <w:rPr>
          <w:rFonts w:ascii="FrankRuehl" w:hAnsi="FrankRuehl" w:cs="FrankRuehl"/>
          <w:sz w:val="28"/>
          <w:szCs w:val="28"/>
          <w:rtl/>
        </w:rPr>
        <w:t>ובתו מתבטלות ומקום בו מ</w:t>
      </w:r>
      <w:r w:rsidR="007D3ADD">
        <w:rPr>
          <w:rFonts w:ascii="FrankRuehl" w:hAnsi="FrankRuehl" w:cs="FrankRuehl" w:hint="cs"/>
          <w:sz w:val="28"/>
          <w:szCs w:val="28"/>
          <w:rtl/>
        </w:rPr>
        <w:t>.ש</w:t>
      </w:r>
      <w:r>
        <w:rPr>
          <w:rFonts w:ascii="FrankRuehl" w:hAnsi="FrankRuehl" w:cs="FrankRuehl"/>
          <w:sz w:val="28"/>
          <w:szCs w:val="28"/>
          <w:rtl/>
        </w:rPr>
        <w:t xml:space="preserve"> ז"ל נפטר לפני שני המנוחים, הוראת הצוואה לטובתו, אפילו הייתה קיימת, מתבטלת, ואין כל מעמד לילדיו.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FD277A">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עוד נציין, כי אף לגישתנו סעיף 41 לחוק הירושה אינו רלוונטי לעניין כאן שכן באם </w:t>
      </w:r>
      <w:r w:rsidR="007D3ADD">
        <w:rPr>
          <w:rFonts w:ascii="FrankRuehl" w:hAnsi="FrankRuehl" w:cs="FrankRuehl" w:hint="cs"/>
          <w:sz w:val="28"/>
          <w:szCs w:val="28"/>
          <w:rtl/>
        </w:rPr>
        <w:t>ז.ש</w:t>
      </w:r>
      <w:r>
        <w:rPr>
          <w:rFonts w:ascii="FrankRuehl" w:hAnsi="FrankRuehl" w:cs="FrankRuehl"/>
          <w:sz w:val="28"/>
          <w:szCs w:val="28"/>
          <w:rtl/>
        </w:rPr>
        <w:t xml:space="preserve"> הינו ה</w:t>
      </w:r>
      <w:r w:rsidR="007D3ADD">
        <w:rPr>
          <w:rFonts w:ascii="FrankRuehl" w:hAnsi="FrankRuehl" w:cs="FrankRuehl"/>
          <w:sz w:val="28"/>
          <w:szCs w:val="28"/>
          <w:rtl/>
        </w:rPr>
        <w:t>מצווה, הוא ציווה את רכושו לר</w:t>
      </w:r>
      <w:r w:rsidR="00FD277A">
        <w:rPr>
          <w:rFonts w:ascii="FrankRuehl" w:hAnsi="FrankRuehl" w:cs="FrankRuehl" w:hint="cs"/>
          <w:sz w:val="28"/>
          <w:szCs w:val="28"/>
          <w:rtl/>
        </w:rPr>
        <w:t>.ש</w:t>
      </w:r>
      <w:r w:rsidR="007D3ADD">
        <w:rPr>
          <w:rFonts w:ascii="FrankRuehl" w:hAnsi="FrankRuehl" w:cs="FrankRuehl" w:hint="cs"/>
          <w:sz w:val="28"/>
          <w:szCs w:val="28"/>
          <w:rtl/>
        </w:rPr>
        <w:t xml:space="preserve"> </w:t>
      </w:r>
      <w:r>
        <w:rPr>
          <w:rFonts w:ascii="FrankRuehl" w:hAnsi="FrankRuehl" w:cs="FrankRuehl"/>
          <w:sz w:val="28"/>
          <w:szCs w:val="28"/>
          <w:rtl/>
        </w:rPr>
        <w:t>אשר זכתה בעיזבונו לאחר צו קיום צוואה.</w:t>
      </w:r>
      <w:r w:rsidR="007D3ADD">
        <w:rPr>
          <w:rFonts w:ascii="FrankRuehl" w:hAnsi="FrankRuehl" w:cs="FrankRuehl"/>
          <w:sz w:val="28"/>
          <w:szCs w:val="28"/>
          <w:rtl/>
        </w:rPr>
        <w:t xml:space="preserve"> ובאם </w:t>
      </w:r>
      <w:r w:rsidR="007D3ADD">
        <w:rPr>
          <w:rFonts w:ascii="FrankRuehl" w:hAnsi="FrankRuehl" w:cs="FrankRuehl" w:hint="cs"/>
          <w:sz w:val="28"/>
          <w:szCs w:val="28"/>
          <w:rtl/>
        </w:rPr>
        <w:t>המנוחה</w:t>
      </w:r>
      <w:r w:rsidR="007D3ADD">
        <w:rPr>
          <w:rFonts w:ascii="FrankRuehl" w:hAnsi="FrankRuehl" w:cs="FrankRuehl"/>
          <w:sz w:val="28"/>
          <w:szCs w:val="28"/>
          <w:rtl/>
        </w:rPr>
        <w:t xml:space="preserve"> </w:t>
      </w:r>
      <w:r>
        <w:rPr>
          <w:rFonts w:ascii="FrankRuehl" w:hAnsi="FrankRuehl" w:cs="FrankRuehl"/>
          <w:sz w:val="28"/>
          <w:szCs w:val="28"/>
          <w:rtl/>
        </w:rPr>
        <w:t xml:space="preserve"> היא המצווה הרי שעל פי סעיף 5 לצוואה היא מצווה את חלקה (שהוא, כאמור, העיזבון במלואו) לאחי</w:t>
      </w:r>
      <w:r w:rsidR="007D3ADD">
        <w:rPr>
          <w:rFonts w:ascii="FrankRuehl" w:hAnsi="FrankRuehl" w:cs="FrankRuehl"/>
          <w:sz w:val="28"/>
          <w:szCs w:val="28"/>
          <w:rtl/>
        </w:rPr>
        <w:t>ה, שכן במועד פטירתה, לא היה לז</w:t>
      </w:r>
      <w:r w:rsidR="007D3ADD">
        <w:rPr>
          <w:rFonts w:ascii="FrankRuehl" w:hAnsi="FrankRuehl" w:cs="FrankRuehl" w:hint="cs"/>
          <w:sz w:val="28"/>
          <w:szCs w:val="28"/>
          <w:rtl/>
        </w:rPr>
        <w:t>'</w:t>
      </w:r>
      <w:r>
        <w:rPr>
          <w:rFonts w:ascii="FrankRuehl" w:hAnsi="FrankRuehl" w:cs="FrankRuehl"/>
          <w:sz w:val="28"/>
          <w:szCs w:val="28"/>
          <w:rtl/>
        </w:rPr>
        <w:t xml:space="preserve"> עוד חלק בעיזבון. </w:t>
      </w:r>
    </w:p>
    <w:p w:rsidR="00960807" w:rsidRDefault="00960807" w:rsidP="00960807">
      <w:pPr>
        <w:pStyle w:val="ad"/>
        <w:spacing w:line="360" w:lineRule="auto"/>
        <w:ind w:lef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lastRenderedPageBreak/>
        <w:t>משסעיף 41 לחוק הירושה אינו חל, הרי שסעיף 49 לחוק הירושה אינו</w:t>
      </w:r>
      <w:r w:rsidR="007D3ADD">
        <w:rPr>
          <w:rFonts w:ascii="FrankRuehl" w:hAnsi="FrankRuehl" w:cs="FrankRuehl"/>
          <w:sz w:val="28"/>
          <w:szCs w:val="28"/>
          <w:rtl/>
        </w:rPr>
        <w:t xml:space="preserve"> רלוונטי לענייננו, שכן ככל ש</w:t>
      </w:r>
      <w:r w:rsidR="007D3ADD">
        <w:rPr>
          <w:rFonts w:ascii="FrankRuehl" w:hAnsi="FrankRuehl" w:cs="FrankRuehl" w:hint="cs"/>
          <w:sz w:val="28"/>
          <w:szCs w:val="28"/>
          <w:rtl/>
        </w:rPr>
        <w:t>מ'</w:t>
      </w:r>
      <w:r>
        <w:rPr>
          <w:rFonts w:ascii="FrankRuehl" w:hAnsi="FrankRuehl" w:cs="FrankRuehl"/>
          <w:sz w:val="28"/>
          <w:szCs w:val="28"/>
          <w:rtl/>
        </w:rPr>
        <w:t xml:space="preserve"> אינו יורש, הרי  שצאצאיו אינם זוכים במקומו.  </w:t>
      </w:r>
    </w:p>
    <w:p w:rsidR="00960807" w:rsidRDefault="00960807" w:rsidP="00960807">
      <w:pPr>
        <w:spacing w:line="360" w:lineRule="auto"/>
        <w:jc w:val="both"/>
        <w:rPr>
          <w:rFonts w:ascii="Miriam" w:hAnsi="Miriam" w:cs="Miriam"/>
          <w:rtl/>
        </w:rPr>
      </w:pPr>
      <w:r>
        <w:rPr>
          <w:rFonts w:ascii="Miriam" w:hAnsi="Miriam" w:cs="Miriam"/>
          <w:rtl/>
        </w:rPr>
        <w:t>סוף דבר</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לאור כל האמור לעיל, מצאנו לדחות את הערעור במלואו.</w:t>
      </w:r>
    </w:p>
    <w:p w:rsidR="00960807" w:rsidRDefault="00960807" w:rsidP="00960807">
      <w:pPr>
        <w:pStyle w:val="ad"/>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tl/>
        </w:rPr>
      </w:pPr>
      <w:r>
        <w:rPr>
          <w:rFonts w:ascii="FrankRuehl" w:hAnsi="FrankRuehl" w:cs="FrankRuehl"/>
          <w:sz w:val="28"/>
          <w:szCs w:val="28"/>
          <w:rtl/>
        </w:rPr>
        <w:t xml:space="preserve">בנסיבות העניין הוצאות המשיב בגין ערעור זה תשולמנה על ידי המערערים ותקבענה בסך של 20,000 ₪. הערובה שהופקדה תועבר לידי המשיב על חשבון הוצאות המשפט. </w:t>
      </w:r>
    </w:p>
    <w:p w:rsidR="004957A5" w:rsidRDefault="004957A5" w:rsidP="004957A5">
      <w:pPr>
        <w:pStyle w:val="ad"/>
        <w:spacing w:line="360" w:lineRule="auto"/>
        <w:ind w:left="360" w:right="360"/>
        <w:jc w:val="both"/>
        <w:rPr>
          <w:rFonts w:ascii="FrankRuehl" w:hAnsi="FrankRuehl" w:cs="FrankRuehl"/>
          <w:sz w:val="28"/>
          <w:szCs w:val="28"/>
        </w:rPr>
      </w:pPr>
    </w:p>
    <w:p w:rsidR="00960807" w:rsidRDefault="00960807" w:rsidP="00960807">
      <w:pPr>
        <w:pStyle w:val="ad"/>
        <w:numPr>
          <w:ilvl w:val="0"/>
          <w:numId w:val="1"/>
        </w:numPr>
        <w:spacing w:line="360" w:lineRule="auto"/>
        <w:ind w:left="360" w:right="0"/>
        <w:jc w:val="both"/>
        <w:rPr>
          <w:rFonts w:ascii="FrankRuehl" w:hAnsi="FrankRuehl" w:cs="FrankRuehl"/>
          <w:sz w:val="28"/>
          <w:szCs w:val="28"/>
        </w:rPr>
      </w:pPr>
      <w:r>
        <w:rPr>
          <w:rFonts w:ascii="FrankRuehl" w:hAnsi="FrankRuehl" w:cs="FrankRuehl"/>
          <w:sz w:val="28"/>
          <w:szCs w:val="28"/>
          <w:rtl/>
        </w:rPr>
        <w:t xml:space="preserve">ניתן לפרסום ללא פרטי שמות הצדדים.  </w:t>
      </w:r>
    </w:p>
    <w:p w:rsidR="007D3ADD" w:rsidRPr="007D3ADD" w:rsidRDefault="007D3ADD" w:rsidP="007D3ADD">
      <w:pPr>
        <w:pStyle w:val="ad"/>
        <w:rPr>
          <w:rFonts w:ascii="FrankRuehl" w:hAnsi="FrankRuehl" w:cs="FrankRuehl"/>
          <w:sz w:val="28"/>
          <w:szCs w:val="28"/>
          <w:rtl/>
        </w:rPr>
      </w:pPr>
    </w:p>
    <w:p w:rsidR="007D3ADD" w:rsidRDefault="007D3ADD" w:rsidP="007D3ADD">
      <w:pPr>
        <w:pStyle w:val="ad"/>
        <w:spacing w:line="360" w:lineRule="auto"/>
        <w:ind w:left="360" w:right="360"/>
        <w:jc w:val="both"/>
        <w:rPr>
          <w:rFonts w:ascii="FrankRuehl" w:hAnsi="FrankRuehl" w:cs="FrankRuehl"/>
          <w:sz w:val="28"/>
          <w:szCs w:val="28"/>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p>
    <w:p w:rsidR="00C43648" w:rsidRDefault="002C2BA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001B94" w:rsidTr="00001B94">
        <w:tc>
          <w:tcPr>
            <w:tcW w:w="2891" w:type="dxa"/>
            <w:vAlign w:val="center"/>
            <w:hideMark/>
          </w:tcPr>
          <w:p w:rsidR="00001B94" w:rsidRDefault="00001B94">
            <w:pPr>
              <w:jc w:val="center"/>
              <w:rPr>
                <w:rFonts w:cs="Times New Roman"/>
                <w:noProof w:val="0"/>
              </w:rPr>
            </w:pPr>
            <w:r>
              <w:drawing>
                <wp:inline distT="0" distB="0" distL="0" distR="0">
                  <wp:extent cx="822325" cy="40703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325" cy="407035"/>
                          </a:xfrm>
                          <a:prstGeom prst="rect">
                            <a:avLst/>
                          </a:prstGeom>
                          <a:noFill/>
                          <a:ln>
                            <a:noFill/>
                          </a:ln>
                        </pic:spPr>
                      </pic:pic>
                    </a:graphicData>
                  </a:graphic>
                </wp:inline>
              </w:drawing>
            </w:r>
          </w:p>
        </w:tc>
        <w:tc>
          <w:tcPr>
            <w:tcW w:w="2891" w:type="dxa"/>
            <w:vAlign w:val="center"/>
            <w:hideMark/>
          </w:tcPr>
          <w:p w:rsidR="00001B94" w:rsidRDefault="00001B94">
            <w:pPr>
              <w:jc w:val="center"/>
            </w:pPr>
            <w:r>
              <w:drawing>
                <wp:inline distT="0" distB="0" distL="0" distR="0">
                  <wp:extent cx="953135" cy="1006475"/>
                  <wp:effectExtent l="0" t="0" r="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3135" cy="1006475"/>
                          </a:xfrm>
                          <a:prstGeom prst="rect">
                            <a:avLst/>
                          </a:prstGeom>
                          <a:noFill/>
                          <a:ln>
                            <a:noFill/>
                          </a:ln>
                        </pic:spPr>
                      </pic:pic>
                    </a:graphicData>
                  </a:graphic>
                </wp:inline>
              </w:drawing>
            </w:r>
          </w:p>
        </w:tc>
        <w:tc>
          <w:tcPr>
            <w:tcW w:w="2891" w:type="dxa"/>
            <w:vAlign w:val="center"/>
            <w:hideMark/>
          </w:tcPr>
          <w:p w:rsidR="00001B94" w:rsidRDefault="00001B94">
            <w:pPr>
              <w:jc w:val="center"/>
            </w:pPr>
            <w:r>
              <w:drawing>
                <wp:inline distT="0" distB="0" distL="0" distR="0">
                  <wp:extent cx="1029970"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9970" cy="245745"/>
                          </a:xfrm>
                          <a:prstGeom prst="rect">
                            <a:avLst/>
                          </a:prstGeom>
                          <a:noFill/>
                          <a:ln>
                            <a:noFill/>
                          </a:ln>
                        </pic:spPr>
                      </pic:pic>
                    </a:graphicData>
                  </a:graphic>
                </wp:inline>
              </w:drawing>
            </w:r>
          </w:p>
        </w:tc>
      </w:tr>
      <w:tr w:rsidR="00001B94" w:rsidTr="00001B94">
        <w:tc>
          <w:tcPr>
            <w:tcW w:w="2891" w:type="dxa"/>
            <w:vAlign w:val="center"/>
            <w:hideMark/>
          </w:tcPr>
          <w:p w:rsidR="00001B94" w:rsidRDefault="00001B94">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001B94" w:rsidRDefault="00001B94">
            <w:pPr>
              <w:jc w:val="center"/>
              <w:rPr>
                <w:rFonts w:ascii="David" w:hAnsi="David"/>
                <w:b/>
                <w:bCs/>
              </w:rPr>
            </w:pPr>
            <w:r>
              <w:rPr>
                <w:rFonts w:ascii="David" w:hAnsi="David" w:hint="cs"/>
                <w:b/>
                <w:bCs/>
                <w:rtl/>
              </w:rPr>
              <w:t>יעל מושקוביץ, שופטת</w:t>
            </w:r>
          </w:p>
        </w:tc>
        <w:tc>
          <w:tcPr>
            <w:tcW w:w="2891" w:type="dxa"/>
            <w:vAlign w:val="center"/>
            <w:hideMark/>
          </w:tcPr>
          <w:p w:rsidR="00001B94" w:rsidRDefault="00001B94">
            <w:pPr>
              <w:jc w:val="center"/>
              <w:rPr>
                <w:rFonts w:ascii="David" w:hAnsi="David"/>
                <w:b/>
                <w:bCs/>
                <w:rtl/>
              </w:rPr>
            </w:pPr>
            <w:r>
              <w:rPr>
                <w:rFonts w:ascii="David" w:hAnsi="David" w:hint="cs"/>
                <w:b/>
                <w:bCs/>
                <w:rtl/>
              </w:rPr>
              <w:t>צבייה גרדשטיין פפקין, שופטת</w:t>
            </w:r>
          </w:p>
        </w:tc>
      </w:tr>
    </w:tbl>
    <w:p w:rsidR="00694556" w:rsidRDefault="00BD6531" w:rsidP="00001B94">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sectPr w:rsidR="00694556" w:rsidSect="00891F42">
      <w:headerReference w:type="even" r:id="rId14"/>
      <w:headerReference w:type="default" r:id="rId15"/>
      <w:footerReference w:type="even" r:id="rId16"/>
      <w:footerReference w:type="default" r:id="rId17"/>
      <w:headerReference w:type="first" r:id="rId18"/>
      <w:footerReference w:type="first" r:id="rId1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BA4" w:rsidRDefault="002C2BA4">
      <w:r>
        <w:separator/>
      </w:r>
    </w:p>
  </w:endnote>
  <w:endnote w:type="continuationSeparator" w:id="0">
    <w:p w:rsidR="002C2BA4" w:rsidRDefault="002C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3F5" w:rsidRDefault="00CE53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B37C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B37CA">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3F5" w:rsidRDefault="00CE5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BA4" w:rsidRDefault="002C2BA4">
      <w:r>
        <w:separator/>
      </w:r>
    </w:p>
  </w:footnote>
  <w:footnote w:type="continuationSeparator" w:id="0">
    <w:p w:rsidR="002C2BA4" w:rsidRDefault="002C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3F5" w:rsidRDefault="00CE53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C2BA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56936-06-22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D3ADD">
                <w:rPr>
                  <w:b/>
                  <w:bCs/>
                  <w:noProof w:val="0"/>
                  <w:sz w:val="26"/>
                  <w:szCs w:val="26"/>
                  <w:rtl/>
                </w:rPr>
                <w:t>ש נ' ש</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106105_4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3F5" w:rsidRDefault="00CE53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C78F8"/>
    <w:multiLevelType w:val="hybridMultilevel"/>
    <w:tmpl w:val="D65617A4"/>
    <w:lvl w:ilvl="0" w:tplc="327C073E">
      <w:start w:val="1"/>
      <w:numFmt w:val="decimal"/>
      <w:lvlText w:val="%1."/>
      <w:lvlJc w:val="left"/>
      <w:pPr>
        <w:ind w:left="720" w:right="360" w:hanging="360"/>
      </w:pPr>
      <w:rPr>
        <w:rFonts w:ascii="FrankRuehl" w:hAnsi="FrankRuehl" w:cs="FrankRuehl" w:hint="default"/>
      </w:rPr>
    </w:lvl>
    <w:lvl w:ilvl="1" w:tplc="04090019">
      <w:start w:val="1"/>
      <w:numFmt w:val="lowerLetter"/>
      <w:lvlText w:val="%2."/>
      <w:lvlJc w:val="left"/>
      <w:pPr>
        <w:ind w:left="1440" w:right="1080" w:hanging="360"/>
      </w:pPr>
    </w:lvl>
    <w:lvl w:ilvl="2" w:tplc="0409001B">
      <w:start w:val="1"/>
      <w:numFmt w:val="lowerRoman"/>
      <w:lvlText w:val="%3."/>
      <w:lvlJc w:val="right"/>
      <w:pPr>
        <w:ind w:left="2160" w:right="1800" w:hanging="180"/>
      </w:pPr>
    </w:lvl>
    <w:lvl w:ilvl="3" w:tplc="0409000F">
      <w:start w:val="1"/>
      <w:numFmt w:val="decimal"/>
      <w:lvlText w:val="%4."/>
      <w:lvlJc w:val="left"/>
      <w:pPr>
        <w:ind w:left="2880" w:right="2520" w:hanging="360"/>
      </w:pPr>
    </w:lvl>
    <w:lvl w:ilvl="4" w:tplc="04090019">
      <w:start w:val="1"/>
      <w:numFmt w:val="lowerLetter"/>
      <w:lvlText w:val="%5."/>
      <w:lvlJc w:val="left"/>
      <w:pPr>
        <w:ind w:left="3600" w:right="3240" w:hanging="360"/>
      </w:pPr>
    </w:lvl>
    <w:lvl w:ilvl="5" w:tplc="0409001B">
      <w:start w:val="1"/>
      <w:numFmt w:val="lowerRoman"/>
      <w:lvlText w:val="%6."/>
      <w:lvlJc w:val="right"/>
      <w:pPr>
        <w:ind w:left="4320" w:right="3960" w:hanging="180"/>
      </w:pPr>
    </w:lvl>
    <w:lvl w:ilvl="6" w:tplc="0409000F">
      <w:start w:val="1"/>
      <w:numFmt w:val="decimal"/>
      <w:lvlText w:val="%7."/>
      <w:lvlJc w:val="left"/>
      <w:pPr>
        <w:ind w:left="5040" w:right="4680" w:hanging="360"/>
      </w:pPr>
    </w:lvl>
    <w:lvl w:ilvl="7" w:tplc="04090019">
      <w:start w:val="1"/>
      <w:numFmt w:val="lowerLetter"/>
      <w:lvlText w:val="%8."/>
      <w:lvlJc w:val="left"/>
      <w:pPr>
        <w:ind w:left="5760" w:right="5400" w:hanging="360"/>
      </w:pPr>
    </w:lvl>
    <w:lvl w:ilvl="8" w:tplc="0409001B">
      <w:start w:val="1"/>
      <w:numFmt w:val="lowerRoman"/>
      <w:lvlText w:val="%9."/>
      <w:lvlJc w:val="right"/>
      <w:pPr>
        <w:ind w:left="6480" w:righ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B94"/>
    <w:rsid w:val="0000226B"/>
    <w:rsid w:val="00005C8B"/>
    <w:rsid w:val="000529D2"/>
    <w:rsid w:val="000564AB"/>
    <w:rsid w:val="00064FBD"/>
    <w:rsid w:val="00082AB2"/>
    <w:rsid w:val="000906FE"/>
    <w:rsid w:val="00093DAC"/>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2BA4"/>
    <w:rsid w:val="002C344E"/>
    <w:rsid w:val="002D5AD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957A5"/>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B37CA"/>
    <w:rsid w:val="005F4F09"/>
    <w:rsid w:val="00603F73"/>
    <w:rsid w:val="0061431B"/>
    <w:rsid w:val="00622BAA"/>
    <w:rsid w:val="006306CF"/>
    <w:rsid w:val="00644E9A"/>
    <w:rsid w:val="00671BD5"/>
    <w:rsid w:val="006805C1"/>
    <w:rsid w:val="00686C21"/>
    <w:rsid w:val="0068730E"/>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3A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852CF"/>
    <w:rsid w:val="00891F42"/>
    <w:rsid w:val="00896889"/>
    <w:rsid w:val="008A6E97"/>
    <w:rsid w:val="008C5714"/>
    <w:rsid w:val="008D10B2"/>
    <w:rsid w:val="00903896"/>
    <w:rsid w:val="00906F3D"/>
    <w:rsid w:val="0094424E"/>
    <w:rsid w:val="00955642"/>
    <w:rsid w:val="00960807"/>
    <w:rsid w:val="009622DF"/>
    <w:rsid w:val="0096493F"/>
    <w:rsid w:val="00967DFF"/>
    <w:rsid w:val="0097647A"/>
    <w:rsid w:val="00994341"/>
    <w:rsid w:val="009D1A48"/>
    <w:rsid w:val="009E1CE7"/>
    <w:rsid w:val="009E461A"/>
    <w:rsid w:val="009E4EA5"/>
    <w:rsid w:val="009F164B"/>
    <w:rsid w:val="009F323C"/>
    <w:rsid w:val="00A15256"/>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672D"/>
    <w:rsid w:val="00BF1908"/>
    <w:rsid w:val="00C22D93"/>
    <w:rsid w:val="00C23458"/>
    <w:rsid w:val="00C23AC9"/>
    <w:rsid w:val="00C31120"/>
    <w:rsid w:val="00C34482"/>
    <w:rsid w:val="00C43648"/>
    <w:rsid w:val="00C50A9F"/>
    <w:rsid w:val="00C642FA"/>
    <w:rsid w:val="00C770E3"/>
    <w:rsid w:val="00CC7622"/>
    <w:rsid w:val="00CD608F"/>
    <w:rsid w:val="00CE53F5"/>
    <w:rsid w:val="00CF6BB7"/>
    <w:rsid w:val="00D006C1"/>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277A"/>
    <w:rsid w:val="00FD79E4"/>
    <w:rsid w:val="00FE2894"/>
    <w:rsid w:val="00FF2BD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60807"/>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9608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65682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515413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582715" TargetMode="Externa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1791532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17947293"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A1DE0" w:rsidP="004A1DE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A1DE0"/>
    <w:rsid w:val="004F79F9"/>
    <w:rsid w:val="005157ED"/>
    <w:rsid w:val="005171E8"/>
    <w:rsid w:val="00556D67"/>
    <w:rsid w:val="00793995"/>
    <w:rsid w:val="007C6F98"/>
    <w:rsid w:val="007E254A"/>
    <w:rsid w:val="00817811"/>
    <w:rsid w:val="008B4366"/>
    <w:rsid w:val="009133C7"/>
    <w:rsid w:val="009178E4"/>
    <w:rsid w:val="00961B27"/>
    <w:rsid w:val="009A4BEE"/>
    <w:rsid w:val="009F043A"/>
    <w:rsid w:val="00A51CA1"/>
    <w:rsid w:val="00AA7CE3"/>
    <w:rsid w:val="00AD53D7"/>
    <w:rsid w:val="00B50DB2"/>
    <w:rsid w:val="00B91FA3"/>
    <w:rsid w:val="00BD7FB9"/>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1DE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A1DE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4939</Words>
  <Characters>24697</Characters>
  <Application>Microsoft Office Word</Application>
  <DocSecurity>0</DocSecurity>
  <Lines>205</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2023-06-08T10:52:00Z</dcterms:created>
  <dcterms:modified xsi:type="dcterms:W3CDTF">2023-06-08T10:52:00Z</dcterms:modified>
</cp:coreProperties>
</file>